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C54A6">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06267"/>
      <w:bookmarkStart w:id="3" w:name="_Toc15378441"/>
      <w:bookmarkStart w:id="4" w:name="_Toc15396475"/>
      <w:bookmarkStart w:id="5" w:name="_Toc15377193"/>
    </w:p>
    <w:p w14:paraId="0C732036">
      <w:pPr>
        <w:pStyle w:val="2"/>
        <w:keepNext w:val="0"/>
        <w:keepLines w:val="0"/>
        <w:pageBreakBefore w:val="0"/>
        <w:widowControl w:val="0"/>
        <w:kinsoku/>
        <w:wordWrap/>
        <w:overflowPunct/>
        <w:topLinePunct w:val="0"/>
        <w:autoSpaceDE/>
        <w:autoSpaceDN/>
        <w:bidi w:val="0"/>
        <w:adjustRightInd/>
        <w:snapToGrid/>
        <w:textAlignment w:val="auto"/>
        <w:outlineLvl w:val="0"/>
        <w:rPr>
          <w:rFonts w:hint="eastAsia" w:ascii="Times New Roman" w:hAnsi="Times New Roman" w:eastAsia="方正小标宋简体" w:cs="Times New Roman"/>
          <w:color w:val="auto"/>
          <w:kern w:val="2"/>
          <w:sz w:val="72"/>
          <w:szCs w:val="72"/>
          <w:highlight w:val="none"/>
          <w:lang w:val="en-US" w:eastAsia="zh-CN" w:bidi="ar-SA"/>
        </w:rPr>
      </w:pPr>
    </w:p>
    <w:p w14:paraId="005CAE11">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rPr>
      </w:pPr>
      <w:r>
        <w:rPr>
          <w:rFonts w:hint="eastAsia" w:ascii="Times New Roman" w:hAnsi="Times New Roman" w:eastAsia="方正小标宋简体" w:cs="方正小标宋简体"/>
          <w:kern w:val="2"/>
          <w:sz w:val="72"/>
          <w:szCs w:val="72"/>
          <w:lang w:val="en-US" w:eastAsia="zh-CN"/>
        </w:rPr>
        <w:t>202</w:t>
      </w:r>
      <w:r>
        <w:rPr>
          <w:rFonts w:ascii="Times New Roman" w:hAnsi="Times New Roman" w:eastAsia="方正小标宋简体" w:cs="方正小标宋简体"/>
          <w:kern w:val="2"/>
          <w:sz w:val="72"/>
          <w:szCs w:val="72"/>
          <w:lang w:val="en-US" w:eastAsia="zh-CN"/>
        </w:rPr>
        <w:t>5</w:t>
      </w:r>
      <w:r>
        <w:rPr>
          <w:rFonts w:hint="eastAsia" w:ascii="Times New Roman" w:hAnsi="Times New Roman" w:eastAsia="方正小标宋简体" w:cs="方正小标宋简体"/>
          <w:kern w:val="2"/>
          <w:sz w:val="72"/>
          <w:szCs w:val="72"/>
          <w:lang w:val="en-US" w:eastAsia="zh-CN"/>
        </w:rPr>
        <w:t>年度</w:t>
      </w:r>
    </w:p>
    <w:p w14:paraId="4AAF31EA">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lang w:val="en-US" w:eastAsia="zh-CN"/>
        </w:rPr>
      </w:pPr>
      <w:r>
        <w:rPr>
          <w:rFonts w:hint="eastAsia" w:ascii="Times New Roman" w:hAnsi="Times New Roman" w:eastAsia="方正小标宋简体" w:cs="方正小标宋简体"/>
          <w:kern w:val="2"/>
          <w:sz w:val="72"/>
          <w:szCs w:val="72"/>
          <w:lang w:val="en-US" w:eastAsia="zh-CN"/>
        </w:rPr>
        <w:t>中国共产党巴中市委员会</w:t>
      </w:r>
    </w:p>
    <w:p w14:paraId="110B5B5E">
      <w:pPr>
        <w:pStyle w:val="15"/>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140" w:afterAutospacing="0" w:line="274" w:lineRule="auto"/>
        <w:ind w:left="0" w:right="0"/>
        <w:jc w:val="center"/>
        <w:textAlignment w:val="auto"/>
        <w:outlineLvl w:val="9"/>
        <w:rPr>
          <w:rFonts w:hint="eastAsia" w:ascii="Times New Roman" w:hAnsi="Times New Roman" w:eastAsia="方正小标宋简体" w:cs="方正小标宋简体"/>
          <w:kern w:val="2"/>
          <w:sz w:val="72"/>
          <w:szCs w:val="72"/>
        </w:rPr>
      </w:pPr>
      <w:r>
        <w:rPr>
          <w:rFonts w:hint="eastAsia" w:ascii="Times New Roman" w:hAnsi="Times New Roman" w:eastAsia="方正小标宋简体" w:cs="方正小标宋简体"/>
          <w:kern w:val="2"/>
          <w:sz w:val="72"/>
          <w:szCs w:val="72"/>
          <w:lang w:val="en-US" w:eastAsia="zh-CN"/>
        </w:rPr>
        <w:t>宣传部机关单位决算</w:t>
      </w:r>
    </w:p>
    <w:p w14:paraId="39D0A52B">
      <w:pPr>
        <w:rPr>
          <w:rFonts w:eastAsia="方正小标宋简体"/>
          <w:sz w:val="72"/>
          <w:szCs w:val="72"/>
        </w:rPr>
        <w:sectPr>
          <w:headerReference r:id="rId3" w:type="default"/>
          <w:footerReference r:id="rId4" w:type="default"/>
          <w:pgSz w:w="11906" w:h="16838"/>
          <w:pgMar w:top="2098" w:right="1474" w:bottom="1984" w:left="1587" w:header="851" w:footer="1417" w:gutter="0"/>
          <w:pgNumType w:fmt="numberInDash" w:start="1"/>
          <w:cols w:space="720" w:num="1"/>
          <w:rtlGutter w:val="1"/>
          <w:docGrid w:type="lines" w:linePitch="440" w:charSpace="0"/>
        </w:sectPr>
      </w:pPr>
      <w:r>
        <w:rPr>
          <w:rFonts w:ascii="Times New Roman" w:hAnsi="Times New Roman" w:eastAsia="方正小标宋简体"/>
          <w:color w:val="auto"/>
          <w:sz w:val="72"/>
          <w:szCs w:val="72"/>
          <w:highlight w:val="none"/>
        </w:rPr>
        <w:br w:type="page"/>
      </w:r>
    </w:p>
    <w:bookmarkEnd w:id="0"/>
    <w:bookmarkEnd w:id="1"/>
    <w:bookmarkEnd w:id="2"/>
    <w:bookmarkEnd w:id="3"/>
    <w:bookmarkEnd w:id="4"/>
    <w:bookmarkEnd w:id="5"/>
    <w:p w14:paraId="3E0FAD11">
      <w:pPr>
        <w:widowControl/>
        <w:jc w:val="center"/>
        <w:rPr>
          <w:rFonts w:hint="eastAsia" w:ascii="Times New Roman" w:hAnsi="Times New Roman" w:eastAsia="方正小标宋简体" w:cs="方正小标宋简体"/>
          <w:color w:val="auto"/>
          <w:sz w:val="48"/>
          <w:szCs w:val="48"/>
          <w:highlight w:val="none"/>
        </w:rPr>
      </w:pPr>
      <w:r>
        <w:rPr>
          <w:rFonts w:hint="eastAsia" w:ascii="Times New Roman" w:hAnsi="Times New Roman" w:eastAsia="方正小标宋简体" w:cs="方正小标宋简体"/>
          <w:color w:val="auto"/>
          <w:sz w:val="48"/>
          <w:szCs w:val="48"/>
          <w:highlight w:val="none"/>
        </w:rPr>
        <w:t>目</w:t>
      </w:r>
      <w:r>
        <w:rPr>
          <w:rFonts w:hint="eastAsia" w:ascii="Times New Roman" w:hAnsi="Times New Roman" w:eastAsia="方正小标宋简体" w:cs="方正小标宋简体"/>
          <w:color w:val="auto"/>
          <w:sz w:val="48"/>
          <w:szCs w:val="48"/>
          <w:highlight w:val="none"/>
          <w:lang w:val="en-US" w:eastAsia="zh-CN"/>
        </w:rPr>
        <w:t xml:space="preserve">  </w:t>
      </w:r>
      <w:r>
        <w:rPr>
          <w:rFonts w:hint="eastAsia" w:ascii="Times New Roman" w:hAnsi="Times New Roman" w:eastAsia="方正小标宋简体" w:cs="方正小标宋简体"/>
          <w:color w:val="auto"/>
          <w:sz w:val="48"/>
          <w:szCs w:val="48"/>
          <w:highlight w:val="none"/>
        </w:rPr>
        <w:t>录</w:t>
      </w:r>
    </w:p>
    <w:p w14:paraId="1D678890">
      <w:pPr>
        <w:widowControl/>
        <w:jc w:val="center"/>
        <w:rPr>
          <w:rFonts w:ascii="Times New Roman" w:hAnsi="Times New Roman" w:eastAsia="黑体" w:cs="Arial"/>
          <w:color w:val="auto"/>
          <w:sz w:val="28"/>
          <w:szCs w:val="28"/>
          <w:highlight w:val="none"/>
        </w:rPr>
      </w:pPr>
    </w:p>
    <w:p w14:paraId="3068AD91">
      <w:pPr>
        <w:pStyle w:val="12"/>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rPr>
        <w:t>公开时间：20</w:t>
      </w:r>
      <w:r>
        <w:rPr>
          <w:rFonts w:hint="eastAsia" w:ascii="Times New Roman" w:hAnsi="Times New Roman" w:eastAsia="方正仿宋_GBK" w:cs="仿宋_GB2312"/>
          <w:color w:val="auto"/>
          <w:sz w:val="32"/>
          <w:szCs w:val="32"/>
          <w:highlight w:val="none"/>
          <w:lang w:val="en-US" w:eastAsia="zh-CN"/>
        </w:rPr>
        <w:t>2</w:t>
      </w:r>
      <w:r>
        <w:rPr>
          <w:rFonts w:ascii="Times New Roman" w:hAnsi="Times New Roman" w:eastAsia="方正仿宋_GBK" w:cs="仿宋_GB2312"/>
          <w:color w:val="auto"/>
          <w:sz w:val="32"/>
          <w:szCs w:val="32"/>
          <w:highlight w:val="none"/>
          <w:lang w:val="en-US" w:eastAsia="zh-CN"/>
        </w:rPr>
        <w:t>6</w:t>
      </w:r>
      <w:r>
        <w:rPr>
          <w:rFonts w:hint="eastAsia" w:ascii="Times New Roman" w:hAnsi="Times New Roman" w:eastAsia="方正仿宋_GBK" w:cs="仿宋_GB2312"/>
          <w:color w:val="auto"/>
          <w:sz w:val="32"/>
          <w:szCs w:val="32"/>
          <w:highlight w:val="none"/>
        </w:rPr>
        <w:t>年</w:t>
      </w:r>
      <w:r>
        <w:rPr>
          <w:rFonts w:hint="eastAsia" w:ascii="Times New Roman" w:hAnsi="Times New Roman" w:eastAsia="方正仿宋_GBK" w:cs="仿宋_GB2312"/>
          <w:color w:val="auto"/>
          <w:sz w:val="32"/>
          <w:szCs w:val="32"/>
          <w:highlight w:val="none"/>
          <w:lang w:val="en-US" w:eastAsia="zh-CN"/>
        </w:rPr>
        <w:t>9</w:t>
      </w:r>
      <w:r>
        <w:rPr>
          <w:rFonts w:hint="eastAsia" w:ascii="Times New Roman" w:hAnsi="Times New Roman" w:eastAsia="方正仿宋_GBK" w:cs="仿宋_GB2312"/>
          <w:color w:val="auto"/>
          <w:sz w:val="32"/>
          <w:szCs w:val="32"/>
          <w:highlight w:val="none"/>
        </w:rPr>
        <w:t>月</w:t>
      </w:r>
      <w:r>
        <w:rPr>
          <w:rFonts w:ascii="Times New Roman" w:hAnsi="Times New Roman" w:eastAsia="方正仿宋_GBK" w:cs="仿宋_GB2312"/>
          <w:color w:val="auto"/>
          <w:sz w:val="32"/>
          <w:szCs w:val="32"/>
          <w:highlight w:val="none"/>
          <w:lang w:val="en-US" w:eastAsia="zh-CN"/>
        </w:rPr>
        <w:t>1</w:t>
      </w:r>
      <w:r>
        <w:rPr>
          <w:rFonts w:hint="eastAsia" w:ascii="Times New Roman" w:hAnsi="Times New Roman"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rPr>
        <w:t>日</w:t>
      </w:r>
    </w:p>
    <w:p w14:paraId="76254131">
      <w:pPr>
        <w:pStyle w:val="12"/>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before="0" w:line="580" w:lineRule="exact"/>
        <w:textAlignment w:val="auto"/>
        <w:outlineLvl w:val="9"/>
        <w:rPr>
          <w:rFonts w:hint="eastAsia" w:ascii="Times New Roman" w:hAnsi="Times New Roman" w:eastAsia="方正黑体_GBK" w:cs="方正黑体_GBK"/>
          <w:sz w:val="32"/>
          <w:szCs w:val="32"/>
        </w:rPr>
      </w:pPr>
      <w:r>
        <w:rPr>
          <w:rFonts w:ascii="Times New Roman" w:hAnsi="Times New Roman" w:eastAsia="方正仿宋_GBK"/>
          <w:color w:val="auto"/>
          <w:highlight w:val="none"/>
        </w:rPr>
        <w:fldChar w:fldCharType="begin"/>
      </w:r>
      <w:r>
        <w:rPr>
          <w:rFonts w:ascii="Times New Roman" w:hAnsi="Times New Roman" w:eastAsia="方正仿宋_GBK"/>
          <w:color w:val="auto"/>
          <w:highlight w:val="none"/>
        </w:rPr>
        <w:instrText xml:space="preserve">TOC \o "1-2" \h \u </w:instrText>
      </w:r>
      <w:r>
        <w:rPr>
          <w:rFonts w:ascii="Times New Roman" w:hAnsi="Times New Roman" w:eastAsia="方正仿宋_GBK"/>
          <w:color w:val="auto"/>
          <w:highlight w:val="none"/>
        </w:rPr>
        <w:fldChar w:fldCharType="separate"/>
      </w: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_Toc15856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第一部分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bCs w:val="0"/>
          <w:sz w:val="32"/>
          <w:szCs w:val="32"/>
          <w:highlight w:val="none"/>
        </w:rPr>
        <w:t>部门概况</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rPr>
        <w:fldChar w:fldCharType="begin"/>
      </w:r>
      <w:r>
        <w:rPr>
          <w:rFonts w:hint="eastAsia" w:ascii="Times New Roman" w:hAnsi="Times New Roman" w:eastAsia="方正黑体_GBK" w:cs="方正黑体_GBK"/>
          <w:sz w:val="32"/>
          <w:szCs w:val="32"/>
        </w:rPr>
        <w:instrText xml:space="preserve"> PAGEREF _Toc15856 </w:instrText>
      </w:r>
      <w:r>
        <w:rPr>
          <w:rFonts w:hint="eastAsia" w:ascii="Times New Roman" w:hAnsi="Times New Roman" w:eastAsia="方正黑体_GBK" w:cs="方正黑体_GBK"/>
          <w:sz w:val="32"/>
          <w:szCs w:val="32"/>
        </w:rPr>
        <w:fldChar w:fldCharType="separate"/>
      </w:r>
      <w:r>
        <w:rPr>
          <w:rFonts w:hint="eastAsia" w:ascii="Times New Roman" w:hAnsi="Times New Roman" w:eastAsia="方正黑体_GBK" w:cs="方正黑体_GBK"/>
          <w:sz w:val="32"/>
          <w:szCs w:val="32"/>
        </w:rPr>
        <w:t>3</w:t>
      </w:r>
      <w:r>
        <w:rPr>
          <w:rFonts w:hint="eastAsia" w:ascii="Times New Roman" w:hAnsi="Times New Roman" w:eastAsia="方正黑体_GBK" w:cs="方正黑体_GBK"/>
          <w:sz w:val="32"/>
          <w:szCs w:val="32"/>
        </w:rPr>
        <w:fldChar w:fldCharType="end"/>
      </w:r>
      <w:r>
        <w:rPr>
          <w:rFonts w:hint="eastAsia" w:ascii="Times New Roman" w:hAnsi="Times New Roman" w:eastAsia="方正黑体_GBK" w:cs="方正黑体_GBK"/>
          <w:color w:val="auto"/>
          <w:sz w:val="32"/>
          <w:szCs w:val="32"/>
          <w:highlight w:val="none"/>
        </w:rPr>
        <w:fldChar w:fldCharType="end"/>
      </w:r>
    </w:p>
    <w:p w14:paraId="003E11DB">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_Toc21967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kern w:val="2"/>
          <w:sz w:val="32"/>
          <w:szCs w:val="32"/>
          <w:lang w:val="en-US" w:eastAsia="zh-CN"/>
        </w:rPr>
        <w:t>一、部门职责</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_Toc21967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4FBB5215">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_Toc4131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kern w:val="2"/>
          <w:sz w:val="32"/>
          <w:szCs w:val="32"/>
          <w:lang w:val="en-US" w:eastAsia="zh-CN"/>
        </w:rPr>
        <w:t>二、机构设置</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p>
    <w:p w14:paraId="1726AFF3">
      <w:pPr>
        <w:pStyle w:val="12"/>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before="0" w:line="580" w:lineRule="exact"/>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_Toc16386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第二部分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2024年度单位</w:t>
      </w:r>
      <w:r>
        <w:rPr>
          <w:rFonts w:hint="eastAsia" w:ascii="Times New Roman" w:hAnsi="Times New Roman" w:eastAsia="方正黑体_GBK" w:cs="方正黑体_GBK"/>
          <w:sz w:val="32"/>
          <w:szCs w:val="32"/>
          <w:highlight w:val="none"/>
        </w:rPr>
        <w:t>决算情况说明</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lang w:val="en-US" w:eastAsia="zh-CN"/>
        </w:rPr>
        <w:t>1</w:t>
      </w:r>
      <w:r>
        <w:rPr>
          <w:rFonts w:hint="eastAsia" w:ascii="Times New Roman" w:hAnsi="Times New Roman" w:eastAsia="方正黑体_GBK" w:cs="方正黑体_GBK"/>
          <w:color w:val="auto"/>
          <w:sz w:val="32"/>
          <w:szCs w:val="32"/>
          <w:highlight w:val="none"/>
        </w:rPr>
        <w:fldChar w:fldCharType="end"/>
      </w:r>
    </w:p>
    <w:p w14:paraId="7460DA85">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_Toc9665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一、</w:t>
      </w:r>
      <w:r>
        <w:rPr>
          <w:rFonts w:hint="eastAsia" w:ascii="Times New Roman" w:hAnsi="Times New Roman" w:eastAsia="方正仿宋_GBK" w:cs="方正仿宋_GBK"/>
          <w:sz w:val="32"/>
          <w:szCs w:val="32"/>
          <w:highlight w:val="none"/>
        </w:rPr>
        <w:t>收入支出决算总体情况说明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4</w:t>
      </w:r>
      <w:r>
        <w:rPr>
          <w:rFonts w:hint="eastAsia" w:ascii="Times New Roman" w:hAnsi="Times New Roman" w:eastAsia="方正仿宋_GBK" w:cs="方正仿宋_GBK"/>
          <w:color w:val="auto"/>
          <w:sz w:val="32"/>
          <w:szCs w:val="32"/>
          <w:highlight w:val="none"/>
        </w:rPr>
        <w:fldChar w:fldCharType="end"/>
      </w:r>
    </w:p>
    <w:p w14:paraId="16F28B7B">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_Toc7837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二、收入决算情况说明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4</w:t>
      </w:r>
      <w:r>
        <w:rPr>
          <w:rFonts w:hint="eastAsia" w:ascii="Times New Roman" w:hAnsi="Times New Roman" w:eastAsia="方正仿宋_GBK" w:cs="方正仿宋_GBK"/>
          <w:color w:val="auto"/>
          <w:sz w:val="32"/>
          <w:szCs w:val="32"/>
          <w:highlight w:val="none"/>
        </w:rPr>
        <w:fldChar w:fldCharType="end"/>
      </w:r>
    </w:p>
    <w:p w14:paraId="73CCEC1C">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_Toc22316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三、支出决算情况说明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5</w:t>
      </w:r>
      <w:r>
        <w:rPr>
          <w:rFonts w:hint="eastAsia" w:ascii="Times New Roman" w:hAnsi="Times New Roman" w:eastAsia="方正仿宋_GBK" w:cs="方正仿宋_GBK"/>
          <w:color w:val="auto"/>
          <w:sz w:val="32"/>
          <w:szCs w:val="32"/>
          <w:highlight w:val="none"/>
        </w:rPr>
        <w:fldChar w:fldCharType="end"/>
      </w:r>
    </w:p>
    <w:p w14:paraId="4483E4E9">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_Toc8135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四、财政拨款收入支出决算总体情况说明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6</w:t>
      </w:r>
      <w:r>
        <w:rPr>
          <w:rFonts w:hint="eastAsia" w:ascii="Times New Roman" w:hAnsi="Times New Roman" w:eastAsia="方正仿宋_GBK" w:cs="方正仿宋_GBK"/>
          <w:color w:val="auto"/>
          <w:sz w:val="32"/>
          <w:szCs w:val="32"/>
          <w:highlight w:val="none"/>
        </w:rPr>
        <w:fldChar w:fldCharType="end"/>
      </w:r>
    </w:p>
    <w:p w14:paraId="4C0B433C">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_Toc7187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五、一般公共预算财政拨款支出决算情况说明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6</w:t>
      </w:r>
      <w:r>
        <w:rPr>
          <w:rFonts w:hint="eastAsia" w:ascii="Times New Roman" w:hAnsi="Times New Roman" w:eastAsia="方正仿宋_GBK" w:cs="方正仿宋_GBK"/>
          <w:color w:val="auto"/>
          <w:sz w:val="32"/>
          <w:szCs w:val="32"/>
          <w:highlight w:val="none"/>
        </w:rPr>
        <w:fldChar w:fldCharType="end"/>
      </w:r>
    </w:p>
    <w:p w14:paraId="15130B68">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_Toc24073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六、一般公共预算财政拨款基本支出决算情况说明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0</w:t>
      </w:r>
    </w:p>
    <w:p w14:paraId="2B0B59B8">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_Toc2054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七、财政拨款“三公”经费支出决算情况说明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0</w:t>
      </w:r>
    </w:p>
    <w:p w14:paraId="12687C36">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_Toc15646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八、政府性基金预算支出决算情况说明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2</w:t>
      </w:r>
    </w:p>
    <w:p w14:paraId="2F7B70D5">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_Toc15519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九、国有资本经营预算支出决算情况说明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3</w:t>
      </w:r>
    </w:p>
    <w:p w14:paraId="5CEF6A95">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_Toc31218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lang w:eastAsia="zh-CN"/>
        </w:rPr>
        <w:t>十、其他重要事项的情况说明</w:t>
      </w:r>
      <w:r>
        <w:rPr>
          <w:rFonts w:hint="eastAsia" w:ascii="Times New Roman" w:hAnsi="Times New Roman" w:eastAsia="方正仿宋_GBK" w:cs="方正仿宋_GBK"/>
          <w:sz w:val="32"/>
          <w:szCs w:val="32"/>
        </w:rPr>
        <w:tab/>
      </w:r>
      <w:r>
        <w:rPr>
          <w:rFonts w:hint="eastAsia" w:eastAsia="方正仿宋_GBK" w:cs="方正仿宋_GBK"/>
          <w:sz w:val="32"/>
          <w:szCs w:val="32"/>
          <w:lang w:val="en-US" w:eastAsia="zh-CN"/>
        </w:rPr>
        <w:t>1</w:t>
      </w:r>
      <w:r>
        <w:rPr>
          <w:rFonts w:hint="eastAsia" w:ascii="Times New Roman" w:hAnsi="Times New Roman" w:eastAsia="方正仿宋_GBK" w:cs="方正仿宋_GBK"/>
          <w:color w:val="auto"/>
          <w:sz w:val="32"/>
          <w:szCs w:val="32"/>
          <w:highlight w:val="none"/>
        </w:rPr>
        <w:fldChar w:fldCharType="end"/>
      </w:r>
      <w:r>
        <w:rPr>
          <w:rFonts w:hint="eastAsia" w:eastAsia="方正仿宋_GBK" w:cs="方正仿宋_GBK"/>
          <w:color w:val="auto"/>
          <w:sz w:val="32"/>
          <w:szCs w:val="32"/>
          <w:highlight w:val="none"/>
          <w:lang w:val="en-US" w:eastAsia="zh-CN"/>
        </w:rPr>
        <w:t>3</w:t>
      </w:r>
    </w:p>
    <w:p w14:paraId="211CE1B3">
      <w:pPr>
        <w:pStyle w:val="12"/>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before="0" w:line="580" w:lineRule="exact"/>
        <w:textAlignment w:val="auto"/>
        <w:outlineLvl w:val="9"/>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_Toc1508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三</w:t>
      </w:r>
      <w:r>
        <w:rPr>
          <w:rFonts w:hint="eastAsia" w:ascii="Times New Roman" w:hAnsi="Times New Roman" w:eastAsia="方正黑体_GBK" w:cs="方正黑体_GBK"/>
          <w:sz w:val="32"/>
          <w:szCs w:val="32"/>
          <w:highlight w:val="none"/>
        </w:rPr>
        <w:t>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名词解释</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lang w:val="en-US" w:eastAsia="zh-CN"/>
        </w:rPr>
        <w:t>1</w:t>
      </w:r>
      <w:r>
        <w:rPr>
          <w:rFonts w:hint="eastAsia" w:ascii="Times New Roman" w:hAnsi="Times New Roman" w:eastAsia="方正黑体_GBK" w:cs="方正黑体_GBK"/>
          <w:color w:val="auto"/>
          <w:sz w:val="32"/>
          <w:szCs w:val="32"/>
          <w:highlight w:val="none"/>
        </w:rPr>
        <w:fldChar w:fldCharType="end"/>
      </w:r>
      <w:r>
        <w:rPr>
          <w:rFonts w:hint="eastAsia" w:ascii="Times New Roman" w:hAnsi="Times New Roman" w:eastAsia="方正黑体_GBK" w:cs="方正黑体_GBK"/>
          <w:color w:val="auto"/>
          <w:sz w:val="32"/>
          <w:szCs w:val="32"/>
          <w:highlight w:val="none"/>
          <w:lang w:val="en-US" w:eastAsia="zh-CN"/>
        </w:rPr>
        <w:t>5</w:t>
      </w:r>
    </w:p>
    <w:p w14:paraId="3407C8C6">
      <w:pPr>
        <w:pStyle w:val="12"/>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before="0" w:line="580" w:lineRule="exact"/>
        <w:textAlignment w:val="auto"/>
        <w:outlineLvl w:val="9"/>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_Toc28669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lang w:val="en-US" w:eastAsia="zh-CN"/>
        </w:rPr>
        <w:t>第四部分  附件</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lang w:val="en-US" w:eastAsia="zh-CN"/>
        </w:rPr>
        <w:t>1</w:t>
      </w:r>
      <w:r>
        <w:rPr>
          <w:rFonts w:hint="eastAsia" w:ascii="Times New Roman" w:hAnsi="Times New Roman" w:eastAsia="方正黑体_GBK" w:cs="方正黑体_GBK"/>
          <w:color w:val="auto"/>
          <w:sz w:val="32"/>
          <w:szCs w:val="32"/>
          <w:highlight w:val="none"/>
        </w:rPr>
        <w:fldChar w:fldCharType="end"/>
      </w:r>
      <w:r>
        <w:rPr>
          <w:rFonts w:hint="eastAsia" w:ascii="Times New Roman" w:hAnsi="Times New Roman" w:eastAsia="方正黑体_GBK" w:cs="方正黑体_GBK"/>
          <w:color w:val="auto"/>
          <w:sz w:val="32"/>
          <w:szCs w:val="32"/>
          <w:highlight w:val="none"/>
          <w:lang w:val="en-US" w:eastAsia="zh-CN"/>
        </w:rPr>
        <w:t>9</w:t>
      </w:r>
    </w:p>
    <w:p w14:paraId="1F25B5BA">
      <w:pPr>
        <w:pStyle w:val="12"/>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before="0" w:line="580" w:lineRule="exact"/>
        <w:textAlignment w:val="auto"/>
        <w:outlineLvl w:val="9"/>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highlight w:val="none"/>
        </w:rPr>
        <w:fldChar w:fldCharType="begin"/>
      </w:r>
      <w:r>
        <w:rPr>
          <w:rFonts w:hint="eastAsia" w:ascii="Times New Roman" w:hAnsi="Times New Roman" w:eastAsia="方正黑体_GBK" w:cs="方正黑体_GBK"/>
          <w:sz w:val="32"/>
          <w:szCs w:val="32"/>
          <w:highlight w:val="none"/>
        </w:rPr>
        <w:instrText xml:space="preserve"> HYPERLINK \l _Toc15059 </w:instrText>
      </w:r>
      <w:r>
        <w:rPr>
          <w:rFonts w:hint="eastAsia" w:ascii="Times New Roman" w:hAnsi="Times New Roman" w:eastAsia="方正黑体_GBK" w:cs="方正黑体_GBK"/>
          <w:sz w:val="32"/>
          <w:szCs w:val="32"/>
          <w:highlight w:val="none"/>
        </w:rPr>
        <w:fldChar w:fldCharType="separate"/>
      </w:r>
      <w:r>
        <w:rPr>
          <w:rFonts w:hint="eastAsia" w:ascii="Times New Roman" w:hAnsi="Times New Roman" w:eastAsia="方正黑体_GBK" w:cs="方正黑体_GBK"/>
          <w:sz w:val="32"/>
          <w:szCs w:val="32"/>
          <w:highlight w:val="none"/>
          <w:lang w:val="en-US" w:eastAsia="zh-CN"/>
        </w:rPr>
        <w:t>第五部分 附表</w:t>
      </w:r>
      <w:r>
        <w:rPr>
          <w:rFonts w:hint="eastAsia" w:ascii="Times New Roman" w:hAnsi="Times New Roman" w:eastAsia="方正黑体_GBK" w:cs="方正黑体_GBK"/>
          <w:sz w:val="32"/>
          <w:szCs w:val="32"/>
        </w:rPr>
        <w:tab/>
      </w:r>
      <w:r>
        <w:rPr>
          <w:rFonts w:hint="eastAsia" w:ascii="Times New Roman" w:hAnsi="Times New Roman" w:eastAsia="方正黑体_GBK" w:cs="方正黑体_GBK"/>
          <w:sz w:val="32"/>
          <w:szCs w:val="32"/>
          <w:lang w:val="en-US" w:eastAsia="zh-CN"/>
        </w:rPr>
        <w:t>8</w:t>
      </w:r>
      <w:r>
        <w:rPr>
          <w:rFonts w:hint="eastAsia" w:ascii="Times New Roman" w:hAnsi="Times New Roman" w:eastAsia="方正黑体_GBK" w:cs="方正黑体_GBK"/>
          <w:color w:val="auto"/>
          <w:sz w:val="32"/>
          <w:szCs w:val="32"/>
          <w:highlight w:val="none"/>
        </w:rPr>
        <w:fldChar w:fldCharType="end"/>
      </w:r>
      <w:r>
        <w:rPr>
          <w:rFonts w:hint="eastAsia" w:ascii="Times New Roman" w:hAnsi="Times New Roman" w:eastAsia="方正黑体_GBK" w:cs="方正黑体_GBK"/>
          <w:color w:val="auto"/>
          <w:sz w:val="32"/>
          <w:szCs w:val="32"/>
          <w:highlight w:val="none"/>
          <w:lang w:val="en-US" w:eastAsia="zh-CN"/>
        </w:rPr>
        <w:t>4</w:t>
      </w:r>
    </w:p>
    <w:p w14:paraId="4AEF08ED">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_Toc26146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一、收入支出决算总表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_Toc26146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345AB8BB">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_Toc2869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二、收入决算表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_Toc2869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1CD529E9">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_Toc1962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三、支出决算表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_Toc1962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1F2D50BE">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_Toc27951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四、财政拨款收入支出决算总表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_Toc27951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5F38C5DC">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_Toc4645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五、财政拨款支出决算明细表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_Toc4645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65D7AF49">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_Toc12326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六、一般公共预算财政拨款支出决算表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_Toc12326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288FCE80">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_Toc18219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七、一般公共预算财政拨款支出决算明细表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_Toc18219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7880EED1">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_Toc10223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八、一般公共预算财政拨款基本支出决算表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_Toc10223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308C9481">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_Toc26970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九、一般公共预算财政拨款项目支出决算表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_Toc26970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3EDC3EB4">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_Toc14952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十、政府性基金预算财政拨款收入支出决算表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_Toc14952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0C0ACED4">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_Toc1535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十一、国有资本经营预算</w:t>
      </w:r>
      <w:r>
        <w:rPr>
          <w:rFonts w:hint="eastAsia" w:ascii="Times New Roman" w:hAnsi="Times New Roman" w:eastAsia="方正仿宋_GBK" w:cs="方正仿宋_GBK"/>
          <w:sz w:val="32"/>
          <w:szCs w:val="32"/>
          <w:highlight w:val="none"/>
          <w:lang w:eastAsia="zh-CN"/>
        </w:rPr>
        <w:t>财政拨款收入</w:t>
      </w:r>
      <w:r>
        <w:rPr>
          <w:rFonts w:hint="eastAsia" w:ascii="Times New Roman" w:hAnsi="Times New Roman" w:eastAsia="方正仿宋_GBK" w:cs="方正仿宋_GBK"/>
          <w:sz w:val="32"/>
          <w:szCs w:val="32"/>
          <w:highlight w:val="none"/>
        </w:rPr>
        <w:t>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_Toc1535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19F4BC17">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_Toc10986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十二、</w:t>
      </w:r>
      <w:r>
        <w:rPr>
          <w:rFonts w:hint="eastAsia" w:ascii="Times New Roman" w:hAnsi="Times New Roman" w:eastAsia="方正仿宋_GBK" w:cs="方正仿宋_GBK"/>
          <w:sz w:val="32"/>
          <w:szCs w:val="32"/>
          <w:highlight w:val="none"/>
          <w:lang w:eastAsia="zh-CN"/>
        </w:rPr>
        <w:t>国有资本经营预算财政拨款支出决算表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_Toc10986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7407A374">
      <w:pPr>
        <w:pStyle w:val="14"/>
        <w:keepNext w:val="0"/>
        <w:keepLines w:val="0"/>
        <w:pageBreakBefore w:val="0"/>
        <w:widowControl w:val="0"/>
        <w:tabs>
          <w:tab w:val="right" w:leader="dot" w:pos="8845"/>
          <w:tab w:val="clear" w:pos="8296"/>
        </w:tabs>
        <w:kinsoku/>
        <w:wordWrap/>
        <w:overflowPunct/>
        <w:topLinePunct w:val="0"/>
        <w:autoSpaceDE/>
        <w:autoSpaceDN/>
        <w:bidi w:val="0"/>
        <w:adjustRightInd w:val="0"/>
        <w:snapToGrid w:val="0"/>
        <w:spacing w:line="580" w:lineRule="exact"/>
        <w:textAlignment w:val="auto"/>
        <w:outlineLvl w:val="9"/>
        <w:rPr>
          <w:rFonts w:ascii="Times New Roman" w:hAnsi="Times New Roman"/>
        </w:rPr>
      </w:pPr>
      <w:r>
        <w:rPr>
          <w:rFonts w:hint="eastAsia" w:ascii="Times New Roman" w:hAnsi="Times New Roman" w:eastAsia="方正仿宋_GBK" w:cs="方正仿宋_GBK"/>
          <w:sz w:val="32"/>
          <w:szCs w:val="32"/>
          <w:highlight w:val="none"/>
        </w:rPr>
        <w:fldChar w:fldCharType="begin"/>
      </w:r>
      <w:r>
        <w:rPr>
          <w:rFonts w:hint="eastAsia" w:ascii="Times New Roman" w:hAnsi="Times New Roman" w:eastAsia="方正仿宋_GBK" w:cs="方正仿宋_GBK"/>
          <w:sz w:val="32"/>
          <w:szCs w:val="32"/>
          <w:highlight w:val="none"/>
        </w:rPr>
        <w:instrText xml:space="preserve"> HYPERLINK \l _Toc6474 </w:instrText>
      </w:r>
      <w:r>
        <w:rPr>
          <w:rFonts w:hint="eastAsia" w:ascii="Times New Roman" w:hAnsi="Times New Roman" w:eastAsia="方正仿宋_GBK" w:cs="方正仿宋_GBK"/>
          <w:sz w:val="32"/>
          <w:szCs w:val="32"/>
          <w:highlight w:val="none"/>
        </w:rPr>
        <w:fldChar w:fldCharType="separate"/>
      </w:r>
      <w:r>
        <w:rPr>
          <w:rFonts w:hint="eastAsia" w:ascii="Times New Roman" w:hAnsi="Times New Roman" w:eastAsia="方正仿宋_GBK" w:cs="方正仿宋_GBK"/>
          <w:sz w:val="32"/>
          <w:szCs w:val="32"/>
          <w:highlight w:val="none"/>
        </w:rPr>
        <w:t>十三、</w:t>
      </w:r>
      <w:r>
        <w:rPr>
          <w:rFonts w:hint="eastAsia" w:ascii="Times New Roman" w:hAnsi="Times New Roman" w:eastAsia="方正仿宋_GBK" w:cs="方正仿宋_GBK"/>
          <w:sz w:val="32"/>
          <w:szCs w:val="32"/>
          <w:highlight w:val="none"/>
          <w:lang w:eastAsia="zh-CN"/>
        </w:rPr>
        <w:t>财政拨款“三公”经费支出决算表</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_Toc6474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84</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color w:val="auto"/>
          <w:sz w:val="32"/>
          <w:szCs w:val="32"/>
          <w:highlight w:val="none"/>
        </w:rPr>
        <w:fldChar w:fldCharType="end"/>
      </w:r>
    </w:p>
    <w:p w14:paraId="0771B9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420" w:firstLineChars="200"/>
        <w:jc w:val="left"/>
        <w:textAlignment w:val="auto"/>
        <w:rPr>
          <w:rFonts w:hint="eastAsia" w:ascii="Times New Roman" w:hAnsi="Times New Roman" w:eastAsia="方正仿宋_GBK" w:cs="仿宋_GB2312"/>
          <w:color w:val="auto"/>
          <w:sz w:val="32"/>
          <w:szCs w:val="32"/>
          <w:highlight w:val="none"/>
        </w:rPr>
      </w:pPr>
      <w:r>
        <w:rPr>
          <w:rFonts w:ascii="Times New Roman" w:hAnsi="Times New Roman" w:eastAsia="方正仿宋_GBK"/>
          <w:color w:val="auto"/>
          <w:highlight w:val="none"/>
        </w:rPr>
        <w:fldChar w:fldCharType="end"/>
      </w:r>
    </w:p>
    <w:p w14:paraId="4781665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方正仿宋_GBK" w:cs="仿宋_GB2312"/>
          <w:b/>
          <w:bCs/>
          <w:color w:val="auto"/>
          <w:sz w:val="32"/>
          <w:szCs w:val="32"/>
          <w:highlight w:val="none"/>
          <w:lang w:eastAsia="zh-CN"/>
        </w:rPr>
      </w:pPr>
      <w:r>
        <w:rPr>
          <w:rFonts w:hint="eastAsia" w:ascii="Times New Roman" w:hAnsi="Times New Roman" w:eastAsia="方正仿宋_GBK" w:cs="仿宋_GB2312"/>
          <w:b/>
          <w:bCs/>
          <w:color w:val="auto"/>
          <w:sz w:val="32"/>
          <w:szCs w:val="32"/>
          <w:highlight w:val="none"/>
          <w:lang w:eastAsia="zh-CN"/>
        </w:rPr>
        <w:t>（</w:t>
      </w:r>
      <w:r>
        <w:rPr>
          <w:rFonts w:hint="eastAsia" w:ascii="Times New Roman" w:hAnsi="Times New Roman" w:eastAsia="方正仿宋_GBK" w:cs="仿宋_GB2312"/>
          <w:b/>
          <w:bCs/>
          <w:color w:val="auto"/>
          <w:sz w:val="32"/>
          <w:szCs w:val="32"/>
          <w:highlight w:val="none"/>
        </w:rPr>
        <w:t>注：请部门根据实际注明页码</w:t>
      </w:r>
      <w:r>
        <w:rPr>
          <w:rFonts w:hint="eastAsia" w:ascii="Times New Roman" w:hAnsi="Times New Roman" w:eastAsia="方正仿宋_GBK" w:cs="仿宋_GB2312"/>
          <w:b/>
          <w:bCs/>
          <w:color w:val="auto"/>
          <w:sz w:val="32"/>
          <w:szCs w:val="32"/>
          <w:highlight w:val="none"/>
          <w:lang w:eastAsia="zh-CN"/>
        </w:rPr>
        <w:t>）</w:t>
      </w:r>
    </w:p>
    <w:p w14:paraId="72413A46">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2098" w:right="1474" w:bottom="1984" w:left="1587" w:header="851" w:footer="1417" w:gutter="0"/>
          <w:pgNumType w:start="1"/>
          <w:cols w:space="720" w:num="1"/>
          <w:rtlGutter w:val="1"/>
          <w:docGrid w:type="lines" w:linePitch="440" w:charSpace="0"/>
        </w:sectPr>
      </w:pPr>
      <w:bookmarkStart w:id="6" w:name="_Toc15396599"/>
      <w:bookmarkStart w:id="7" w:name="_Toc15377196"/>
    </w:p>
    <w:p w14:paraId="49320EF3">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ascii="Times New Roman" w:hAnsi="Times New Roman" w:eastAsia="黑体"/>
          <w:color w:val="auto"/>
          <w:sz w:val="32"/>
          <w:szCs w:val="32"/>
          <w:highlight w:val="none"/>
        </w:rPr>
      </w:pPr>
      <w:bookmarkStart w:id="88" w:name="_GoBack"/>
      <w:bookmarkEnd w:id="88"/>
      <w:bookmarkStart w:id="8" w:name="_Toc1585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0"/>
          <w:rFonts w:hint="eastAsia" w:ascii="Times New Roman" w:hAnsi="Times New Roman" w:eastAsia="方正小标宋简体" w:cs="方正小标宋简体"/>
          <w:b w:val="0"/>
          <w:bCs w:val="0"/>
          <w:color w:val="auto"/>
          <w:highlight w:val="none"/>
        </w:rPr>
        <w:t>部门概况</w:t>
      </w:r>
      <w:bookmarkEnd w:id="6"/>
      <w:bookmarkEnd w:id="7"/>
      <w:bookmarkEnd w:id="8"/>
    </w:p>
    <w:p w14:paraId="064FEA03">
      <w:pPr>
        <w:keepNext w:val="0"/>
        <w:keepLines w:val="0"/>
        <w:pageBreakBefore w:val="0"/>
        <w:widowControl w:val="0"/>
        <w:suppressLineNumbers w:val="0"/>
        <w:suppressAutoHyphens/>
        <w:kinsoku/>
        <w:wordWrap/>
        <w:overflowPunct/>
        <w:topLinePunct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kern w:val="2"/>
          <w:sz w:val="32"/>
          <w:szCs w:val="32"/>
          <w:lang w:val="en-US" w:eastAsia="zh-CN"/>
        </w:rPr>
      </w:pPr>
      <w:bookmarkStart w:id="9" w:name="_Toc15377204"/>
      <w:bookmarkStart w:id="10" w:name="_Toc15396602"/>
    </w:p>
    <w:p w14:paraId="4C60C723">
      <w:pPr>
        <w:keepNext w:val="0"/>
        <w:keepLines w:val="0"/>
        <w:pageBreakBefore w:val="0"/>
        <w:widowControl w:val="0"/>
        <w:suppressLineNumbers w:val="0"/>
        <w:suppressAutoHyphens/>
        <w:kinsoku/>
        <w:wordWrap/>
        <w:overflowPunct/>
        <w:topLinePunct w:val="0"/>
        <w:autoSpaceDE/>
        <w:autoSpaceDN/>
        <w:bidi w:val="0"/>
        <w:adjustRightInd w:val="0"/>
        <w:snapToGrid w:val="0"/>
        <w:spacing w:beforeAutospacing="0" w:afterAutospacing="0" w:line="580" w:lineRule="exact"/>
        <w:ind w:left="0" w:right="0" w:firstLine="640" w:firstLineChars="200"/>
        <w:jc w:val="both"/>
        <w:textAlignment w:val="auto"/>
        <w:outlineLvl w:val="1"/>
        <w:rPr>
          <w:rFonts w:hint="eastAsia" w:ascii="Times New Roman" w:hAnsi="Times New Roman" w:eastAsia="方正黑体_GBK" w:cs="方正黑体_GBK"/>
          <w:kern w:val="2"/>
          <w:sz w:val="32"/>
          <w:szCs w:val="32"/>
          <w:lang w:val="en-US" w:eastAsia="zh-CN"/>
        </w:rPr>
      </w:pPr>
      <w:bookmarkStart w:id="11" w:name="_Toc21967"/>
      <w:r>
        <w:rPr>
          <w:rFonts w:hint="eastAsia" w:ascii="Times New Roman" w:hAnsi="Times New Roman" w:eastAsia="方正黑体_GBK" w:cs="方正黑体_GBK"/>
          <w:kern w:val="2"/>
          <w:sz w:val="32"/>
          <w:szCs w:val="32"/>
          <w:lang w:val="en-US" w:eastAsia="zh-CN"/>
        </w:rPr>
        <w:t>一、部门职责</w:t>
      </w:r>
      <w:bookmarkEnd w:id="11"/>
    </w:p>
    <w:p w14:paraId="34AF3696">
      <w:pPr>
        <w:keepNext w:val="0"/>
        <w:keepLines w:val="0"/>
        <w:pageBreakBefore w:val="0"/>
        <w:widowControl w:val="0"/>
        <w:suppressLineNumbers w:val="0"/>
        <w:suppressAutoHyphens/>
        <w:kinsoku/>
        <w:wordWrap/>
        <w:overflowPunct/>
        <w:topLinePunct w:val="0"/>
        <w:autoSpaceDN/>
        <w:adjustRightInd w:val="0"/>
        <w:snapToGrid w:val="0"/>
        <w:spacing w:line="580" w:lineRule="exact"/>
        <w:ind w:left="0" w:firstLine="640" w:firstLineChars="200"/>
        <w:rPr>
          <w:rFonts w:hint="eastAsia" w:ascii="Times New Roman" w:hAnsi="Times New Roman" w:eastAsia="方正仿宋_GBK" w:cs="方正仿宋_GBK"/>
          <w:kern w:val="2"/>
          <w:sz w:val="32"/>
          <w:szCs w:val="32"/>
          <w:lang w:val="en-US" w:eastAsia="zh-CN"/>
        </w:rPr>
      </w:pPr>
      <w:r>
        <w:rPr>
          <w:rFonts w:ascii="Times New Roman" w:hAnsi="Times New Roman" w:eastAsia="方正仿宋_GBK" w:cs="方正仿宋_GBK"/>
          <w:kern w:val="2"/>
          <w:sz w:val="32"/>
          <w:szCs w:val="32"/>
          <w:lang w:val="en-US" w:eastAsia="zh-CN"/>
        </w:rPr>
        <w:t>按保密相关规定，不对外公开</w:t>
      </w:r>
      <w:r>
        <w:rPr>
          <w:rFonts w:hint="eastAsia" w:ascii="Times New Roman" w:hAnsi="Times New Roman" w:eastAsia="方正仿宋_GBK" w:cs="方正仿宋_GBK"/>
          <w:kern w:val="2"/>
          <w:sz w:val="32"/>
          <w:szCs w:val="32"/>
          <w:lang w:val="en-US" w:eastAsia="zh-CN"/>
        </w:rPr>
        <w:t>。</w:t>
      </w:r>
    </w:p>
    <w:p w14:paraId="5844A04A">
      <w:pPr>
        <w:keepNext w:val="0"/>
        <w:keepLines w:val="0"/>
        <w:pageBreakBefore w:val="0"/>
        <w:widowControl w:val="0"/>
        <w:suppressLineNumbers w:val="0"/>
        <w:suppressAutoHyphens/>
        <w:kinsoku/>
        <w:wordWrap/>
        <w:overflowPunct/>
        <w:topLinePunct w:val="0"/>
        <w:autoSpaceDE/>
        <w:autoSpaceDN/>
        <w:bidi w:val="0"/>
        <w:adjustRightInd w:val="0"/>
        <w:snapToGrid w:val="0"/>
        <w:spacing w:beforeAutospacing="0" w:afterAutospacing="0" w:line="580" w:lineRule="exact"/>
        <w:ind w:left="0" w:right="0" w:firstLine="640" w:firstLineChars="200"/>
        <w:jc w:val="both"/>
        <w:textAlignment w:val="auto"/>
        <w:outlineLvl w:val="1"/>
        <w:rPr>
          <w:rFonts w:hint="eastAsia" w:ascii="Times New Roman" w:hAnsi="Times New Roman" w:eastAsia="方正黑体_GBK" w:cs="方正黑体_GBK"/>
          <w:kern w:val="2"/>
          <w:sz w:val="32"/>
          <w:szCs w:val="32"/>
          <w:lang w:val="en-US" w:eastAsia="zh-CN"/>
        </w:rPr>
      </w:pPr>
      <w:bookmarkStart w:id="12" w:name="_Toc4131"/>
      <w:r>
        <w:rPr>
          <w:rFonts w:hint="eastAsia" w:ascii="Times New Roman" w:hAnsi="Times New Roman" w:eastAsia="方正黑体_GBK" w:cs="方正黑体_GBK"/>
          <w:kern w:val="2"/>
          <w:sz w:val="32"/>
          <w:szCs w:val="32"/>
          <w:lang w:val="en-US" w:eastAsia="zh-CN"/>
        </w:rPr>
        <w:t>二、机构设置</w:t>
      </w:r>
      <w:bookmarkEnd w:id="12"/>
    </w:p>
    <w:p w14:paraId="1C2D163E">
      <w:pPr>
        <w:keepNext w:val="0"/>
        <w:keepLines w:val="0"/>
        <w:pageBreakBefore w:val="0"/>
        <w:widowControl w:val="0"/>
        <w:suppressLineNumbers w:val="0"/>
        <w:suppressAutoHyphens/>
        <w:kinsoku/>
        <w:wordWrap/>
        <w:overflowPunct/>
        <w:topLinePunct w:val="0"/>
        <w:autoSpaceDN/>
        <w:bidi w:val="0"/>
        <w:adjustRightInd w:val="0"/>
        <w:snapToGrid w:val="0"/>
        <w:spacing w:beforeAutospacing="0" w:afterAutospacing="0" w:line="580" w:lineRule="exact"/>
        <w:ind w:left="0" w:right="0" w:firstLine="640" w:firstLineChars="200"/>
        <w:jc w:val="both"/>
        <w:textAlignment w:val="auto"/>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 w:val="32"/>
          <w:szCs w:val="32"/>
          <w:lang w:val="en-US" w:eastAsia="zh-CN"/>
        </w:rPr>
        <w:t>中共巴中市委宣传部机关下属二级</w:t>
      </w:r>
      <w:r>
        <w:rPr>
          <w:rFonts w:ascii="Times New Roman" w:hAnsi="Times New Roman" w:eastAsia="方正仿宋_GBK" w:cs="方正仿宋_GBK"/>
          <w:kern w:val="2"/>
          <w:sz w:val="32"/>
          <w:szCs w:val="32"/>
          <w:lang w:val="en-US" w:eastAsia="zh-CN"/>
        </w:rPr>
        <w:t>预算</w:t>
      </w:r>
      <w:r>
        <w:rPr>
          <w:rFonts w:hint="eastAsia" w:ascii="Times New Roman" w:hAnsi="Times New Roman" w:eastAsia="方正仿宋_GBK" w:cs="方正仿宋_GBK"/>
          <w:kern w:val="2"/>
          <w:sz w:val="32"/>
          <w:szCs w:val="32"/>
          <w:lang w:val="en-US" w:eastAsia="zh-CN"/>
        </w:rPr>
        <w:t>单位</w:t>
      </w:r>
      <w:r>
        <w:rPr>
          <w:rFonts w:ascii="Times New Roman" w:hAnsi="Times New Roman" w:eastAsia="方正仿宋_GBK" w:cs="方正仿宋_GBK"/>
          <w:kern w:val="2"/>
          <w:sz w:val="32"/>
          <w:szCs w:val="32"/>
          <w:lang w:val="en-US" w:eastAsia="zh-CN"/>
        </w:rPr>
        <w:t>0</w:t>
      </w:r>
      <w:r>
        <w:rPr>
          <w:rFonts w:hint="eastAsia" w:ascii="Times New Roman" w:hAnsi="Times New Roman" w:eastAsia="方正仿宋_GBK" w:cs="方正仿宋_GBK"/>
          <w:kern w:val="2"/>
          <w:sz w:val="32"/>
          <w:szCs w:val="32"/>
          <w:lang w:val="en-US" w:eastAsia="zh-CN"/>
        </w:rPr>
        <w:t>个</w:t>
      </w:r>
      <w:r>
        <w:rPr>
          <w:rFonts w:ascii="Times New Roman" w:hAnsi="Times New Roman" w:eastAsia="方正仿宋_GBK" w:cs="方正仿宋_GBK"/>
          <w:kern w:val="2"/>
          <w:sz w:val="32"/>
          <w:szCs w:val="32"/>
          <w:lang w:val="en-US" w:eastAsia="zh-CN"/>
        </w:rPr>
        <w:t>。</w:t>
      </w:r>
    </w:p>
    <w:p w14:paraId="74499DB8">
      <w:pPr>
        <w:keepNext w:val="0"/>
        <w:keepLines w:val="0"/>
        <w:pageBreakBefore w:val="0"/>
        <w:widowControl w:val="0"/>
        <w:suppressLineNumbers w:val="0"/>
        <w:suppressAutoHyphens/>
        <w:kinsoku/>
        <w:wordWrap/>
        <w:overflowPunct/>
        <w:topLinePunct w:val="0"/>
        <w:autoSpaceDN/>
        <w:bidi w:val="0"/>
        <w:adjustRightInd w:val="0"/>
        <w:snapToGrid w:val="0"/>
        <w:spacing w:beforeAutospacing="0" w:afterAutospacing="0" w:line="580" w:lineRule="exact"/>
        <w:ind w:left="0" w:right="0" w:firstLine="640" w:firstLineChars="200"/>
        <w:jc w:val="both"/>
        <w:textAlignment w:val="auto"/>
        <w:rPr>
          <w:rFonts w:ascii="Times New Roman" w:hAnsi="Times New Roman" w:eastAsia="方正仿宋_GBK"/>
        </w:rPr>
      </w:pPr>
      <w:r>
        <w:rPr>
          <w:rFonts w:ascii="Times New Roman" w:hAnsi="Times New Roman" w:eastAsia="方正仿宋_GBK" w:cs="Times New Roman"/>
          <w:kern w:val="2"/>
          <w:sz w:val="32"/>
          <w:szCs w:val="32"/>
          <w:lang w:val="en-US" w:eastAsia="zh-CN"/>
        </w:rPr>
        <w:br w:type="page"/>
      </w:r>
    </w:p>
    <w:p w14:paraId="218827C0">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rPr>
      </w:pPr>
      <w:bookmarkStart w:id="13" w:name="_Toc16386"/>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ascii="Times New Roman" w:hAnsi="Times New Roman"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年度单位</w:t>
      </w:r>
      <w:r>
        <w:rPr>
          <w:rFonts w:hint="eastAsia" w:ascii="Times New Roman" w:hAnsi="Times New Roman" w:eastAsia="方正小标宋简体" w:cs="方正小标宋简体"/>
          <w:b w:val="0"/>
          <w:color w:val="auto"/>
          <w:highlight w:val="none"/>
        </w:rPr>
        <w:t>决算情况说明</w:t>
      </w:r>
      <w:bookmarkEnd w:id="9"/>
      <w:bookmarkEnd w:id="10"/>
      <w:bookmarkEnd w:id="13"/>
    </w:p>
    <w:p w14:paraId="46B26298">
      <w:pPr>
        <w:keepNext w:val="0"/>
        <w:keepLines w:val="0"/>
        <w:pageBreakBefore w:val="0"/>
        <w:widowControl w:val="0"/>
        <w:kinsoku/>
        <w:wordWrap/>
        <w:overflowPunct/>
        <w:topLinePunct w:val="0"/>
        <w:autoSpaceDN/>
        <w:bidi w:val="0"/>
        <w:adjustRightInd w:val="0"/>
        <w:snapToGrid w:val="0"/>
        <w:spacing w:line="580" w:lineRule="exact"/>
        <w:ind w:firstLine="420" w:firstLineChars="200"/>
        <w:textAlignment w:val="auto"/>
        <w:rPr>
          <w:rFonts w:ascii="Times New Roman" w:hAnsi="Times New Roman" w:eastAsia="方正仿宋_GBK"/>
          <w:color w:val="auto"/>
          <w:highlight w:val="none"/>
        </w:rPr>
      </w:pPr>
    </w:p>
    <w:p w14:paraId="1B6A3954">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Style w:val="21"/>
          <w:rFonts w:hint="eastAsia" w:ascii="Times New Roman" w:hAnsi="Times New Roman" w:eastAsia="方正黑体_GBK" w:cs="方正黑体_GBK"/>
          <w:b w:val="0"/>
          <w:color w:val="auto"/>
          <w:highlight w:val="none"/>
        </w:rPr>
      </w:pPr>
      <w:bookmarkStart w:id="14" w:name="_Toc15396603"/>
      <w:bookmarkStart w:id="15" w:name="_Toc9665"/>
      <w:bookmarkStart w:id="16" w:name="_Toc15377205"/>
      <w:r>
        <w:rPr>
          <w:rFonts w:hint="eastAsia" w:ascii="Times New Roman" w:hAnsi="Times New Roman" w:eastAsia="方正黑体_GBK" w:cs="方正黑体_GBK"/>
          <w:color w:val="auto"/>
          <w:sz w:val="32"/>
          <w:szCs w:val="32"/>
          <w:highlight w:val="none"/>
          <w:lang w:eastAsia="zh-CN"/>
        </w:rPr>
        <w:t>一、</w:t>
      </w:r>
      <w:r>
        <w:rPr>
          <w:rFonts w:hint="eastAsia" w:ascii="Times New Roman" w:hAnsi="Times New Roman" w:eastAsia="方正黑体_GBK" w:cs="方正黑体_GBK"/>
          <w:color w:val="auto"/>
          <w:sz w:val="32"/>
          <w:szCs w:val="32"/>
          <w:highlight w:val="none"/>
        </w:rPr>
        <w:t>收</w:t>
      </w:r>
      <w:r>
        <w:rPr>
          <w:rStyle w:val="21"/>
          <w:rFonts w:hint="eastAsia" w:ascii="Times New Roman" w:hAnsi="Times New Roman" w:eastAsia="方正黑体_GBK" w:cs="方正黑体_GBK"/>
          <w:b w:val="0"/>
          <w:color w:val="auto"/>
          <w:highlight w:val="none"/>
        </w:rPr>
        <w:t>入支出决算总体情况说明</w:t>
      </w:r>
      <w:bookmarkEnd w:id="14"/>
      <w:bookmarkEnd w:id="15"/>
      <w:bookmarkEnd w:id="16"/>
    </w:p>
    <w:p w14:paraId="08A9FE13">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t>202</w:t>
      </w:r>
      <w:r>
        <w:rPr>
          <w:rFonts w:ascii="Times New Roman" w:hAnsi="Times New Roman" w:eastAsia="方正仿宋_GBK" w:cs="仿宋_GB2312"/>
          <w:color w:val="auto"/>
          <w:sz w:val="32"/>
          <w:szCs w:val="32"/>
          <w:highlight w:val="none"/>
          <w:lang w:eastAsia="zh-CN"/>
        </w:rPr>
        <w:t>5</w:t>
      </w:r>
      <w:r>
        <w:rPr>
          <w:rFonts w:hint="eastAsia" w:ascii="Times New Roman" w:hAnsi="Times New Roman" w:eastAsia="方正仿宋_GBK" w:cs="仿宋_GB2312"/>
          <w:color w:val="auto"/>
          <w:sz w:val="32"/>
          <w:szCs w:val="32"/>
          <w:highlight w:val="none"/>
          <w:lang w:eastAsia="zh-CN"/>
        </w:rPr>
        <w:t>年度收入</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支出</w:t>
      </w:r>
      <w:r>
        <w:rPr>
          <w:rFonts w:hint="eastAsia" w:ascii="Times New Roman" w:hAnsi="Times New Roman" w:eastAsia="方正仿宋_GBK" w:cs="仿宋_GB2312"/>
          <w:color w:val="auto"/>
          <w:sz w:val="32"/>
          <w:szCs w:val="32"/>
          <w:highlight w:val="none"/>
        </w:rPr>
        <w:t>总计</w:t>
      </w:r>
      <w:r>
        <w:rPr>
          <w:rFonts w:hint="eastAsia" w:ascii="Times New Roman" w:hAnsi="Times New Roman" w:eastAsia="方正仿宋_GBK" w:cs="仿宋_GB2312"/>
          <w:color w:val="auto"/>
          <w:sz w:val="32"/>
          <w:szCs w:val="32"/>
          <w:highlight w:val="none"/>
          <w:lang w:eastAsia="zh-CN"/>
        </w:rPr>
        <w:t>均为</w:t>
      </w:r>
      <w:r>
        <w:rPr>
          <w:rFonts w:ascii="Times New Roman" w:hAnsi="Times New Roman"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rPr>
        <w:t>万元。与</w:t>
      </w:r>
      <w:r>
        <w:rPr>
          <w:rFonts w:ascii="Times New Roman" w:hAnsi="Times New Roman" w:eastAsia="方正仿宋_GBK" w:cs="仿宋_GB2312"/>
          <w:color w:val="auto"/>
          <w:sz w:val="32"/>
          <w:szCs w:val="32"/>
          <w:highlight w:val="none"/>
          <w:lang w:eastAsia="zh-CN"/>
        </w:rPr>
        <w:t>上</w:t>
      </w:r>
      <w:r>
        <w:rPr>
          <w:rFonts w:hint="eastAsia" w:ascii="Times New Roman" w:hAnsi="Times New Roman" w:eastAsia="方正仿宋_GBK" w:cs="仿宋_GB2312"/>
          <w:color w:val="auto"/>
          <w:sz w:val="32"/>
          <w:szCs w:val="32"/>
          <w:highlight w:val="none"/>
        </w:rPr>
        <w:t>年</w:t>
      </w:r>
      <w:r>
        <w:rPr>
          <w:rFonts w:hint="eastAsia" w:ascii="Times New Roman" w:hAnsi="Times New Roman" w:eastAsia="方正仿宋_GBK" w:cs="仿宋_GB2312"/>
          <w:color w:val="auto"/>
          <w:sz w:val="32"/>
          <w:szCs w:val="32"/>
          <w:highlight w:val="none"/>
          <w:lang w:eastAsia="zh-CN"/>
        </w:rPr>
        <w:t>度</w:t>
      </w:r>
      <w:r>
        <w:rPr>
          <w:rFonts w:hint="eastAsia" w:ascii="Times New Roman" w:hAnsi="Times New Roman" w:eastAsia="方正仿宋_GBK" w:cs="仿宋_GB2312"/>
          <w:color w:val="auto"/>
          <w:sz w:val="32"/>
          <w:szCs w:val="32"/>
          <w:highlight w:val="none"/>
        </w:rPr>
        <w:t>相比，</w:t>
      </w:r>
      <w:r>
        <w:rPr>
          <w:rFonts w:hint="eastAsia" w:ascii="Times New Roman" w:hAnsi="Times New Roman" w:eastAsia="方正仿宋_GBK" w:cs="仿宋_GB2312"/>
          <w:color w:val="auto"/>
          <w:sz w:val="32"/>
          <w:szCs w:val="32"/>
          <w:highlight w:val="none"/>
          <w:lang w:eastAsia="zh-CN"/>
        </w:rPr>
        <w:t>收入</w:t>
      </w:r>
      <w:r>
        <w:rPr>
          <w:rFonts w:ascii="Times New Roman" w:hAnsi="Times New Roman" w:eastAsia="方正仿宋_GBK" w:cs="仿宋_GB2312"/>
          <w:color w:val="auto"/>
          <w:sz w:val="32"/>
          <w:szCs w:val="32"/>
          <w:highlight w:val="none"/>
          <w:lang w:eastAsia="zh-CN"/>
        </w:rPr>
        <w:t>、支出</w:t>
      </w:r>
      <w:r>
        <w:rPr>
          <w:rFonts w:hint="eastAsia" w:ascii="Times New Roman" w:hAnsi="Times New Roman" w:eastAsia="方正仿宋_GBK" w:cs="仿宋_GB2312"/>
          <w:color w:val="auto"/>
          <w:sz w:val="32"/>
          <w:szCs w:val="32"/>
          <w:highlight w:val="none"/>
          <w:lang w:eastAsia="zh-CN"/>
        </w:rPr>
        <w:t>总计</w:t>
      </w:r>
      <w:r>
        <w:rPr>
          <w:rFonts w:ascii="Times New Roman" w:hAnsi="Times New Roman" w:eastAsia="方正仿宋_GBK" w:cs="仿宋_GB2312"/>
          <w:color w:val="auto"/>
          <w:sz w:val="32"/>
          <w:szCs w:val="32"/>
          <w:highlight w:val="none"/>
          <w:lang w:eastAsia="zh-CN"/>
        </w:rPr>
        <w:t>各</w:t>
      </w:r>
      <w:r>
        <w:rPr>
          <w:rFonts w:hint="eastAsia" w:ascii="Times New Roman" w:hAnsi="Times New Roman" w:eastAsia="方正仿宋_GBK" w:cs="仿宋_GB2312"/>
          <w:color w:val="auto"/>
          <w:sz w:val="32"/>
          <w:szCs w:val="32"/>
          <w:highlight w:val="none"/>
        </w:rPr>
        <w:t>减少</w:t>
      </w:r>
      <w:r>
        <w:rPr>
          <w:rFonts w:ascii="Times New Roman" w:hAnsi="Times New Roman" w:eastAsia="方正仿宋_GBK" w:cs="仿宋_GB2312"/>
          <w:color w:val="auto"/>
          <w:sz w:val="32"/>
          <w:szCs w:val="32"/>
          <w:highlight w:val="none"/>
          <w:lang w:val="en-US" w:eastAsia="zh-CN"/>
        </w:rPr>
        <w:t>826.66</w:t>
      </w:r>
      <w:r>
        <w:rPr>
          <w:rFonts w:hint="eastAsia" w:ascii="Times New Roman" w:hAnsi="Times New Roman" w:eastAsia="方正仿宋_GBK" w:cs="仿宋_GB2312"/>
          <w:color w:val="auto"/>
          <w:sz w:val="32"/>
          <w:szCs w:val="32"/>
          <w:highlight w:val="none"/>
        </w:rPr>
        <w:t>万元，下降</w:t>
      </w:r>
      <w:r>
        <w:rPr>
          <w:rFonts w:ascii="Times New Roman" w:hAnsi="Times New Roman" w:eastAsia="方正仿宋_GBK" w:cs="仿宋_GB2312"/>
          <w:color w:val="auto"/>
          <w:sz w:val="32"/>
          <w:szCs w:val="32"/>
          <w:highlight w:val="none"/>
          <w:lang w:val="en-US" w:eastAsia="zh-CN"/>
        </w:rPr>
        <w:t>27.03</w:t>
      </w:r>
      <w:r>
        <w:rPr>
          <w:rFonts w:hint="eastAsia" w:ascii="Times New Roman" w:hAnsi="Times New Roman" w:eastAsia="方正仿宋_GBK" w:cs="仿宋_GB2312"/>
          <w:color w:val="auto"/>
          <w:sz w:val="32"/>
          <w:szCs w:val="32"/>
          <w:highlight w:val="none"/>
        </w:rPr>
        <w:t>%。主要变动原因是</w:t>
      </w:r>
      <w:r>
        <w:rPr>
          <w:rFonts w:ascii="Times New Roman" w:hAnsi="Times New Roman" w:eastAsia="方正仿宋_GBK" w:cs="仿宋_GB2312"/>
          <w:color w:val="auto"/>
          <w:sz w:val="32"/>
          <w:szCs w:val="32"/>
          <w:highlight w:val="none"/>
          <w:lang w:eastAsia="zh-CN"/>
        </w:rPr>
        <w:t>市委网信办独立预算</w:t>
      </w:r>
      <w:r>
        <w:rPr>
          <w:rFonts w:hint="eastAsia" w:ascii="Times New Roman" w:hAnsi="Times New Roman" w:eastAsia="方正仿宋_GBK" w:cs="仿宋_GB2312"/>
          <w:color w:val="auto"/>
          <w:sz w:val="32"/>
          <w:szCs w:val="32"/>
          <w:highlight w:val="none"/>
          <w:lang w:eastAsia="zh-CN"/>
        </w:rPr>
        <w:t>。</w:t>
      </w:r>
    </w:p>
    <w:p w14:paraId="447EA893">
      <w:pPr>
        <w:pStyle w:val="2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方正仿宋_GBK" w:cs="仿宋_GB2312"/>
          <w:color w:val="auto"/>
          <w:sz w:val="32"/>
          <w:szCs w:val="32"/>
          <w:highlight w:val="none"/>
          <w:lang w:eastAsia="zh-CN"/>
        </w:rPr>
      </w:pPr>
    </w:p>
    <w:p w14:paraId="735117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0" t="0" r="0" b="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980E72">
      <w:pPr>
        <w:pStyle w:val="23"/>
        <w:ind w:left="0" w:firstLine="0" w:firstLineChars="0"/>
        <w:rPr>
          <w:rFonts w:hint="eastAsia" w:ascii="Times New Roman" w:hAnsi="Times New Roman" w:eastAsia="方正仿宋_GBK"/>
        </w:rPr>
      </w:pPr>
    </w:p>
    <w:p w14:paraId="6EA46B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rPr>
      </w:pPr>
      <w:r>
        <w:rPr>
          <w:rFonts w:hint="eastAsia" w:ascii="Times New Roman" w:hAnsi="Times New Roman" w:eastAsia="方正仿宋_GBK" w:cs="仿宋_GB2312"/>
          <w:color w:val="auto"/>
          <w:sz w:val="28"/>
          <w:szCs w:val="28"/>
          <w:highlight w:val="none"/>
        </w:rPr>
        <w:t>（图1：</w:t>
      </w:r>
      <w:r>
        <w:rPr>
          <w:rFonts w:hint="eastAsia" w:ascii="Times New Roman" w:hAnsi="Times New Roman" w:eastAsia="方正仿宋_GBK" w:cs="仿宋_GB2312"/>
          <w:color w:val="auto"/>
          <w:sz w:val="28"/>
          <w:szCs w:val="28"/>
          <w:highlight w:val="none"/>
          <w:lang w:eastAsia="zh-CN"/>
        </w:rPr>
        <w:t>收入</w:t>
      </w:r>
      <w:r>
        <w:rPr>
          <w:rFonts w:hint="eastAsia" w:ascii="Times New Roman" w:hAnsi="Times New Roman" w:eastAsia="方正仿宋_GBK" w:cs="仿宋_GB2312"/>
          <w:color w:val="auto"/>
          <w:sz w:val="28"/>
          <w:szCs w:val="28"/>
          <w:highlight w:val="none"/>
        </w:rPr>
        <w:t>、</w:t>
      </w:r>
      <w:r>
        <w:rPr>
          <w:rFonts w:hint="eastAsia" w:ascii="Times New Roman" w:hAnsi="Times New Roman" w:eastAsia="方正仿宋_GBK" w:cs="仿宋_GB2312"/>
          <w:color w:val="auto"/>
          <w:sz w:val="28"/>
          <w:szCs w:val="28"/>
          <w:highlight w:val="none"/>
          <w:lang w:eastAsia="zh-CN"/>
        </w:rPr>
        <w:t>支出</w:t>
      </w:r>
      <w:r>
        <w:rPr>
          <w:rFonts w:hint="eastAsia" w:ascii="Times New Roman" w:hAnsi="Times New Roman" w:eastAsia="方正仿宋_GBK" w:cs="仿宋_GB2312"/>
          <w:color w:val="auto"/>
          <w:sz w:val="28"/>
          <w:szCs w:val="28"/>
          <w:highlight w:val="none"/>
        </w:rPr>
        <w:t>决算总计变动情况图）（柱状图）</w:t>
      </w:r>
    </w:p>
    <w:p w14:paraId="7F4DA594">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17" w:name="_Toc15396604"/>
      <w:bookmarkStart w:id="18" w:name="_Toc7837"/>
      <w:bookmarkStart w:id="19" w:name="_Toc15377206"/>
      <w:r>
        <w:rPr>
          <w:rFonts w:hint="eastAsia" w:ascii="Times New Roman" w:hAnsi="Times New Roman" w:eastAsia="方正黑体_GBK" w:cs="方正黑体_GBK"/>
          <w:color w:val="auto"/>
          <w:sz w:val="32"/>
          <w:szCs w:val="32"/>
          <w:highlight w:val="none"/>
          <w:lang w:eastAsia="zh-CN"/>
        </w:rPr>
        <w:t>二、收入决算情况说明</w:t>
      </w:r>
      <w:bookmarkEnd w:id="17"/>
      <w:bookmarkEnd w:id="18"/>
      <w:bookmarkEnd w:id="19"/>
    </w:p>
    <w:p w14:paraId="52DD5F48">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eastAsia="zh-CN"/>
        </w:rPr>
        <w:t>年度本年收入合计</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eastAsia="zh-CN"/>
        </w:rPr>
        <w:t>万元，其中：一般公共预算财政拨款收入</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eastAsia="zh-CN"/>
        </w:rPr>
        <w:t>万元，占</w:t>
      </w:r>
      <w:r>
        <w:rPr>
          <w:rFonts w:hint="eastAsia" w:eastAsia="方正仿宋_GBK" w:cs="仿宋_GB2312"/>
          <w:color w:val="auto"/>
          <w:sz w:val="32"/>
          <w:szCs w:val="32"/>
          <w:highlight w:val="none"/>
          <w:lang w:val="en-US" w:eastAsia="zh-CN"/>
        </w:rPr>
        <w:t>100</w:t>
      </w:r>
      <w:r>
        <w:rPr>
          <w:rFonts w:ascii="Times New Roman" w:hAnsi="Times New Roman" w:eastAsia="方正仿宋_GBK" w:cs="仿宋_GB2312"/>
          <w:color w:val="auto"/>
          <w:sz w:val="32"/>
          <w:szCs w:val="32"/>
          <w:highlight w:val="none"/>
          <w:lang w:val="en-US" w:eastAsia="zh-CN"/>
        </w:rPr>
        <w:t>%</w:t>
      </w:r>
      <w:r>
        <w:rPr>
          <w:rFonts w:hint="eastAsia" w:eastAsia="方正仿宋_GBK" w:cs="仿宋_GB2312"/>
          <w:color w:val="auto"/>
          <w:sz w:val="32"/>
          <w:szCs w:val="32"/>
          <w:highlight w:val="none"/>
          <w:lang w:val="en-US" w:eastAsia="zh-CN"/>
        </w:rPr>
        <w:t>。</w:t>
      </w:r>
    </w:p>
    <w:p w14:paraId="75C94488">
      <w:pPr>
        <w:rPr>
          <w:rFonts w:hint="eastAsia" w:ascii="Times New Roman" w:hAnsi="Times New Roman" w:eastAsia="方正仿宋_GBK" w:cs="仿宋_GB2312"/>
          <w:color w:val="auto"/>
          <w:sz w:val="32"/>
          <w:szCs w:val="32"/>
          <w:highlight w:val="none"/>
          <w:lang w:eastAsia="zh-CN"/>
        </w:rPr>
      </w:pPr>
    </w:p>
    <w:p w14:paraId="17A4A3F2">
      <w:pPr>
        <w:pStyle w:val="23"/>
        <w:rPr>
          <w:rFonts w:hint="eastAsia" w:ascii="Times New Roman" w:hAnsi="Times New Roman" w:eastAsia="方正仿宋_GBK" w:cs="仿宋_GB2312"/>
          <w:color w:val="auto"/>
          <w:sz w:val="32"/>
          <w:szCs w:val="32"/>
          <w:highlight w:val="none"/>
          <w:lang w:eastAsia="zh-CN"/>
          <w14:textFill>
            <w14:noFill/>
          </w14:textFill>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5256530" cy="2988310"/>
            <wp:effectExtent l="0" t="0" r="0" b="0"/>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C9BFB6">
      <w:pPr>
        <w:rPr>
          <w:rFonts w:ascii="Times New Roman" w:hAnsi="Times New Roman" w:eastAsia="方正仿宋_GBK"/>
          <w:lang w:val="en-US" w:eastAsia="zh-CN"/>
        </w:rPr>
      </w:pPr>
    </w:p>
    <w:p w14:paraId="23DBFE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lang w:eastAsia="zh-CN"/>
        </w:rPr>
      </w:pPr>
      <w:r>
        <w:rPr>
          <w:rFonts w:hint="eastAsia" w:ascii="Times New Roman" w:hAnsi="Times New Roman" w:eastAsia="方正仿宋_GBK" w:cs="仿宋_GB2312"/>
          <w:color w:val="auto"/>
          <w:sz w:val="28"/>
          <w:szCs w:val="28"/>
          <w:highlight w:val="none"/>
          <w:lang w:eastAsia="zh-CN"/>
        </w:rPr>
        <w:t>（图2：收入决算结构图）（饼状图）</w:t>
      </w:r>
    </w:p>
    <w:p w14:paraId="66F607C7">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0" w:name="_Toc15377207"/>
      <w:bookmarkStart w:id="21" w:name="_Toc22316"/>
      <w:bookmarkStart w:id="22" w:name="_Toc15396605"/>
      <w:r>
        <w:rPr>
          <w:rFonts w:hint="eastAsia" w:ascii="Times New Roman" w:hAnsi="Times New Roman" w:eastAsia="方正黑体_GBK" w:cs="方正黑体_GBK"/>
          <w:color w:val="auto"/>
          <w:sz w:val="32"/>
          <w:szCs w:val="32"/>
          <w:highlight w:val="none"/>
          <w:lang w:eastAsia="zh-CN"/>
        </w:rPr>
        <w:t>三、支出决算情况说明</w:t>
      </w:r>
      <w:bookmarkEnd w:id="20"/>
      <w:bookmarkEnd w:id="21"/>
      <w:bookmarkEnd w:id="22"/>
    </w:p>
    <w:p w14:paraId="7338F07D">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eastAsia="zh-CN"/>
        </w:rPr>
        <w:t>年度本年支出合计</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eastAsia="zh-CN"/>
        </w:rPr>
        <w:t>万元，其中：基本支出</w:t>
      </w:r>
      <w:r>
        <w:rPr>
          <w:rFonts w:hint="eastAsia" w:eastAsia="方正仿宋_GBK" w:cs="仿宋_GB2312"/>
          <w:color w:val="auto"/>
          <w:sz w:val="32"/>
          <w:szCs w:val="32"/>
          <w:highlight w:val="none"/>
          <w:lang w:val="en-US" w:eastAsia="zh-CN"/>
        </w:rPr>
        <w:t>1273.84</w:t>
      </w:r>
      <w:r>
        <w:rPr>
          <w:rFonts w:hint="eastAsia" w:ascii="Times New Roman" w:hAnsi="Times New Roman" w:eastAsia="方正仿宋_GBK" w:cs="仿宋_GB2312"/>
          <w:color w:val="auto"/>
          <w:sz w:val="32"/>
          <w:szCs w:val="32"/>
          <w:highlight w:val="none"/>
          <w:lang w:eastAsia="zh-CN"/>
        </w:rPr>
        <w:t>万元，占</w:t>
      </w:r>
      <w:r>
        <w:rPr>
          <w:rFonts w:hint="eastAsia" w:eastAsia="方正仿宋_GBK" w:cs="仿宋_GB2312"/>
          <w:color w:val="auto"/>
          <w:sz w:val="32"/>
          <w:szCs w:val="32"/>
          <w:highlight w:val="none"/>
          <w:lang w:val="en-US" w:eastAsia="zh-CN"/>
        </w:rPr>
        <w:t>57.09</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eastAsia="zh-CN"/>
        </w:rPr>
        <w:t>；项目支出</w:t>
      </w:r>
      <w:r>
        <w:rPr>
          <w:rFonts w:hint="eastAsia" w:eastAsia="方正仿宋_GBK" w:cs="仿宋_GB2312"/>
          <w:color w:val="auto"/>
          <w:sz w:val="32"/>
          <w:szCs w:val="32"/>
          <w:highlight w:val="none"/>
          <w:lang w:val="en-US" w:eastAsia="zh-CN"/>
        </w:rPr>
        <w:t>957.38</w:t>
      </w:r>
      <w:r>
        <w:rPr>
          <w:rFonts w:hint="eastAsia" w:ascii="Times New Roman" w:hAnsi="Times New Roman" w:eastAsia="方正仿宋_GBK" w:cs="仿宋_GB2312"/>
          <w:color w:val="auto"/>
          <w:sz w:val="32"/>
          <w:szCs w:val="32"/>
          <w:highlight w:val="none"/>
          <w:lang w:eastAsia="zh-CN"/>
        </w:rPr>
        <w:t>万元，占</w:t>
      </w:r>
      <w:r>
        <w:rPr>
          <w:rFonts w:hint="eastAsia" w:eastAsia="方正仿宋_GBK" w:cs="仿宋_GB2312"/>
          <w:color w:val="auto"/>
          <w:sz w:val="32"/>
          <w:szCs w:val="32"/>
          <w:highlight w:val="none"/>
          <w:lang w:val="en-US" w:eastAsia="zh-CN"/>
        </w:rPr>
        <w:t>42.9</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eastAsia="zh-CN"/>
        </w:rPr>
        <w:t>。</w:t>
      </w:r>
    </w:p>
    <w:p w14:paraId="6740C7CF">
      <w:pPr>
        <w:pStyle w:val="23"/>
        <w:rPr>
          <w:rFonts w:hint="eastAsia" w:ascii="Times New Roman" w:hAnsi="Times New Roman" w:eastAsia="方正仿宋_GBK" w:cs="仿宋_GB2312"/>
          <w:color w:val="auto"/>
          <w:sz w:val="32"/>
          <w:szCs w:val="32"/>
          <w:highlight w:val="none"/>
          <w:lang w:eastAsia="zh-CN"/>
        </w:rPr>
      </w:pPr>
    </w:p>
    <w:p w14:paraId="6DC9D2F5">
      <w:pPr>
        <w:jc w:val="center"/>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lang w:eastAsia="zh-CN"/>
        </w:rPr>
        <w:drawing>
          <wp:inline distT="0" distB="0" distL="114300" distR="114300">
            <wp:extent cx="4307205" cy="2534920"/>
            <wp:effectExtent l="0" t="0" r="0" b="0"/>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1CEFEDD">
      <w:pPr>
        <w:keepNext w:val="0"/>
        <w:keepLines w:val="0"/>
        <w:pageBreakBefore w:val="0"/>
        <w:widowControl w:val="0"/>
        <w:kinsoku/>
        <w:wordWrap/>
        <w:overflowPunct/>
        <w:topLinePunct w:val="0"/>
        <w:autoSpaceDE/>
        <w:autoSpaceDN/>
        <w:bidi w:val="0"/>
        <w:adjustRightInd/>
        <w:snapToGrid/>
        <w:ind w:firstLine="1960" w:firstLineChars="700"/>
        <w:jc w:val="both"/>
        <w:textAlignment w:val="auto"/>
        <w:rPr>
          <w:rFonts w:hint="eastAsia" w:ascii="Times New Roman" w:hAnsi="Times New Roman" w:eastAsia="方正仿宋_GBK" w:cs="仿宋_GB2312"/>
          <w:color w:val="auto"/>
          <w:sz w:val="28"/>
          <w:szCs w:val="28"/>
          <w:highlight w:val="none"/>
          <w:lang w:eastAsia="zh-CN"/>
        </w:rPr>
      </w:pPr>
      <w:r>
        <w:rPr>
          <w:rFonts w:hint="eastAsia" w:ascii="Times New Roman" w:hAnsi="Times New Roman" w:eastAsia="方正仿宋_GBK" w:cs="仿宋_GB2312"/>
          <w:color w:val="auto"/>
          <w:sz w:val="28"/>
          <w:szCs w:val="28"/>
          <w:highlight w:val="none"/>
          <w:lang w:eastAsia="zh-CN"/>
        </w:rPr>
        <w:t>（图3：支出决算结构图）（饼状图）</w:t>
      </w:r>
    </w:p>
    <w:p w14:paraId="7F4761BA">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3" w:name="_Toc15377208"/>
      <w:bookmarkStart w:id="24" w:name="_Toc15396606"/>
      <w:bookmarkStart w:id="25" w:name="_Toc8135"/>
      <w:r>
        <w:rPr>
          <w:rFonts w:hint="eastAsia" w:ascii="Times New Roman" w:hAnsi="Times New Roman" w:eastAsia="方正黑体_GBK" w:cs="方正黑体_GBK"/>
          <w:color w:val="auto"/>
          <w:sz w:val="32"/>
          <w:szCs w:val="32"/>
          <w:highlight w:val="none"/>
          <w:lang w:eastAsia="zh-CN"/>
        </w:rPr>
        <w:t>四、财政拨款收入支出决算总体情况说明</w:t>
      </w:r>
      <w:bookmarkEnd w:id="23"/>
      <w:bookmarkEnd w:id="24"/>
      <w:bookmarkEnd w:id="25"/>
    </w:p>
    <w:p w14:paraId="388247BC">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年度财政拨款收入、支出总计均为</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val="en-US" w:eastAsia="zh-CN"/>
        </w:rPr>
        <w:t>万元。与</w:t>
      </w:r>
      <w:r>
        <w:rPr>
          <w:rFonts w:hint="eastAsia" w:eastAsia="方正仿宋_GBK" w:cs="仿宋_GB2312"/>
          <w:color w:val="auto"/>
          <w:sz w:val="32"/>
          <w:szCs w:val="32"/>
          <w:highlight w:val="none"/>
          <w:lang w:val="en-US" w:eastAsia="zh-CN"/>
        </w:rPr>
        <w:t>上</w:t>
      </w:r>
      <w:r>
        <w:rPr>
          <w:rFonts w:hint="eastAsia" w:ascii="Times New Roman" w:hAnsi="Times New Roman" w:eastAsia="方正仿宋_GBK" w:cs="仿宋_GB2312"/>
          <w:color w:val="auto"/>
          <w:sz w:val="32"/>
          <w:szCs w:val="32"/>
          <w:highlight w:val="none"/>
          <w:lang w:val="en-US" w:eastAsia="zh-CN"/>
        </w:rPr>
        <w:t>年度相比，财政拨款收入</w:t>
      </w:r>
      <w:r>
        <w:rPr>
          <w:rFonts w:hint="eastAsia" w:eastAsia="方正仿宋_GBK" w:cs="仿宋_GB2312"/>
          <w:color w:val="auto"/>
          <w:sz w:val="32"/>
          <w:szCs w:val="32"/>
          <w:highlight w:val="none"/>
          <w:lang w:val="en-US" w:eastAsia="zh-CN"/>
        </w:rPr>
        <w:t>、支出</w:t>
      </w:r>
      <w:r>
        <w:rPr>
          <w:rFonts w:hint="eastAsia" w:ascii="Times New Roman" w:hAnsi="Times New Roman" w:eastAsia="方正仿宋_GBK" w:cs="仿宋_GB2312"/>
          <w:color w:val="auto"/>
          <w:sz w:val="32"/>
          <w:szCs w:val="32"/>
          <w:highlight w:val="none"/>
          <w:lang w:val="en-US" w:eastAsia="zh-CN"/>
        </w:rPr>
        <w:t>总计</w:t>
      </w:r>
      <w:r>
        <w:rPr>
          <w:rFonts w:hint="eastAsia" w:eastAsia="方正仿宋_GBK" w:cs="仿宋_GB2312"/>
          <w:color w:val="auto"/>
          <w:sz w:val="32"/>
          <w:szCs w:val="32"/>
          <w:highlight w:val="none"/>
          <w:lang w:val="en-US" w:eastAsia="zh-CN"/>
        </w:rPr>
        <w:t>各</w:t>
      </w:r>
      <w:r>
        <w:rPr>
          <w:rFonts w:hint="eastAsia" w:ascii="Times New Roman" w:hAnsi="Times New Roman" w:eastAsia="方正仿宋_GBK" w:cs="仿宋_GB2312"/>
          <w:color w:val="auto"/>
          <w:sz w:val="32"/>
          <w:szCs w:val="32"/>
          <w:highlight w:val="none"/>
          <w:lang w:val="en-US" w:eastAsia="zh-CN"/>
        </w:rPr>
        <w:t>减少</w:t>
      </w:r>
      <w:r>
        <w:rPr>
          <w:rFonts w:hint="eastAsia" w:eastAsia="方正仿宋_GBK" w:cs="仿宋_GB2312"/>
          <w:color w:val="auto"/>
          <w:sz w:val="32"/>
          <w:szCs w:val="32"/>
          <w:highlight w:val="none"/>
          <w:lang w:val="en-US" w:eastAsia="zh-CN"/>
        </w:rPr>
        <w:t>826.66</w:t>
      </w:r>
      <w:r>
        <w:rPr>
          <w:rFonts w:hint="eastAsia" w:ascii="Times New Roman" w:hAnsi="Times New Roman" w:eastAsia="方正仿宋_GBK" w:cs="仿宋_GB2312"/>
          <w:color w:val="auto"/>
          <w:sz w:val="32"/>
          <w:szCs w:val="32"/>
          <w:highlight w:val="none"/>
          <w:lang w:val="en-US" w:eastAsia="zh-CN"/>
        </w:rPr>
        <w:t>万元，下降</w:t>
      </w:r>
      <w:r>
        <w:rPr>
          <w:rFonts w:hint="eastAsia" w:eastAsia="方正仿宋_GBK" w:cs="仿宋_GB2312"/>
          <w:color w:val="auto"/>
          <w:sz w:val="32"/>
          <w:szCs w:val="32"/>
          <w:highlight w:val="none"/>
          <w:lang w:val="en-US" w:eastAsia="zh-CN"/>
        </w:rPr>
        <w:t>27.03</w:t>
      </w:r>
      <w:r>
        <w:rPr>
          <w:rFonts w:hint="eastAsia" w:ascii="Times New Roman" w:hAnsi="Times New Roman" w:eastAsia="方正仿宋_GBK" w:cs="仿宋_GB2312"/>
          <w:color w:val="auto"/>
          <w:sz w:val="32"/>
          <w:szCs w:val="32"/>
          <w:highlight w:val="none"/>
          <w:lang w:val="en-US" w:eastAsia="zh-CN"/>
        </w:rPr>
        <w:t>%。主要变动原因是</w:t>
      </w:r>
      <w:r>
        <w:rPr>
          <w:rFonts w:hint="eastAsia" w:eastAsia="方正仿宋_GBK" w:cs="仿宋_GB2312"/>
          <w:color w:val="auto"/>
          <w:sz w:val="32"/>
          <w:szCs w:val="32"/>
          <w:highlight w:val="none"/>
          <w:lang w:val="en-US" w:eastAsia="zh-CN"/>
        </w:rPr>
        <w:t>市委网信办独立预算</w:t>
      </w:r>
      <w:r>
        <w:rPr>
          <w:rFonts w:ascii="Times New Roman" w:hAnsi="Times New Roman" w:eastAsia="方正仿宋_GBK" w:cs="仿宋_GB2312"/>
          <w:color w:val="auto"/>
          <w:sz w:val="32"/>
          <w:szCs w:val="32"/>
          <w:highlight w:val="none"/>
          <w:lang w:val="en-US" w:eastAsia="zh-CN"/>
        </w:rPr>
        <w:t>。</w:t>
      </w:r>
    </w:p>
    <w:p w14:paraId="01C0A5AF">
      <w:pPr>
        <w:jc w:val="center"/>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4401820" cy="232029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65F6B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（图4：财政拨款收、支决算总计变动情况）（柱状图）</w:t>
      </w:r>
    </w:p>
    <w:p w14:paraId="3F02DD71">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26" w:name="_Toc15396607"/>
      <w:bookmarkStart w:id="27" w:name="_Toc7187"/>
      <w:bookmarkStart w:id="28" w:name="_Toc15377209"/>
      <w:r>
        <w:rPr>
          <w:rFonts w:hint="eastAsia" w:ascii="Times New Roman" w:hAnsi="Times New Roman" w:eastAsia="方正黑体_GBK" w:cs="方正黑体_GBK"/>
          <w:color w:val="auto"/>
          <w:sz w:val="32"/>
          <w:szCs w:val="32"/>
          <w:highlight w:val="none"/>
          <w:lang w:eastAsia="zh-CN"/>
        </w:rPr>
        <w:t>五、一般公共预算财政拨款支出决算情况说明</w:t>
      </w:r>
      <w:bookmarkEnd w:id="26"/>
      <w:bookmarkEnd w:id="27"/>
      <w:bookmarkEnd w:id="28"/>
    </w:p>
    <w:p w14:paraId="54A153A2">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29" w:name="_Toc15377210"/>
      <w:r>
        <w:rPr>
          <w:rFonts w:hint="eastAsia" w:ascii="Times New Roman" w:hAnsi="Times New Roman" w:eastAsia="方正楷体_GBK" w:cs="方正楷体_GBK"/>
          <w:color w:val="auto"/>
          <w:sz w:val="32"/>
          <w:szCs w:val="32"/>
          <w:highlight w:val="none"/>
          <w:lang w:eastAsia="zh-CN"/>
        </w:rPr>
        <w:t>（一）一般公共预算财政拨款支出决算总体情况</w:t>
      </w:r>
      <w:bookmarkEnd w:id="29"/>
    </w:p>
    <w:p w14:paraId="2BAEEEA6">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年度一般公共预算财政拨款支出</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val="en-US" w:eastAsia="zh-CN"/>
        </w:rPr>
        <w:t>万元，占本年支出合计的</w:t>
      </w:r>
      <w:r>
        <w:rPr>
          <w:rFonts w:hint="eastAsia" w:eastAsia="方正仿宋_GBK" w:cs="仿宋_GB2312"/>
          <w:color w:val="auto"/>
          <w:sz w:val="32"/>
          <w:szCs w:val="32"/>
          <w:highlight w:val="none"/>
          <w:lang w:val="en-US" w:eastAsia="zh-CN"/>
        </w:rPr>
        <w:t>100%</w:t>
      </w:r>
      <w:r>
        <w:rPr>
          <w:rFonts w:hint="eastAsia" w:ascii="Times New Roman" w:hAnsi="Times New Roman" w:eastAsia="方正仿宋_GBK" w:cs="仿宋_GB2312"/>
          <w:color w:val="auto"/>
          <w:sz w:val="32"/>
          <w:szCs w:val="32"/>
          <w:highlight w:val="none"/>
          <w:lang w:val="en-US" w:eastAsia="zh-CN"/>
        </w:rPr>
        <w:t>。与</w:t>
      </w:r>
      <w:r>
        <w:rPr>
          <w:rFonts w:hint="eastAsia" w:eastAsia="方正仿宋_GBK" w:cs="仿宋_GB2312"/>
          <w:color w:val="auto"/>
          <w:sz w:val="32"/>
          <w:szCs w:val="32"/>
          <w:highlight w:val="none"/>
          <w:lang w:val="en-US" w:eastAsia="zh-CN"/>
        </w:rPr>
        <w:t>上</w:t>
      </w:r>
      <w:r>
        <w:rPr>
          <w:rFonts w:hint="eastAsia" w:ascii="Times New Roman" w:hAnsi="Times New Roman" w:eastAsia="方正仿宋_GBK" w:cs="仿宋_GB2312"/>
          <w:color w:val="auto"/>
          <w:sz w:val="32"/>
          <w:szCs w:val="32"/>
          <w:highlight w:val="none"/>
          <w:lang w:val="en-US" w:eastAsia="zh-CN"/>
        </w:rPr>
        <w:t>年度相比，一般公共预算财政拨款支出减少</w:t>
      </w:r>
      <w:r>
        <w:rPr>
          <w:rFonts w:hint="eastAsia" w:eastAsia="方正仿宋_GBK" w:cs="仿宋_GB2312"/>
          <w:color w:val="auto"/>
          <w:sz w:val="32"/>
          <w:szCs w:val="32"/>
          <w:highlight w:val="none"/>
          <w:lang w:val="en-US" w:eastAsia="zh-CN"/>
        </w:rPr>
        <w:t>786.66</w:t>
      </w:r>
      <w:r>
        <w:rPr>
          <w:rFonts w:hint="eastAsia" w:ascii="Times New Roman" w:hAnsi="Times New Roman" w:eastAsia="方正仿宋_GBK" w:cs="仿宋_GB2312"/>
          <w:color w:val="auto"/>
          <w:sz w:val="32"/>
          <w:szCs w:val="32"/>
          <w:highlight w:val="none"/>
          <w:lang w:val="en-US" w:eastAsia="zh-CN"/>
        </w:rPr>
        <w:t>万元，下降</w:t>
      </w:r>
      <w:r>
        <w:rPr>
          <w:rFonts w:hint="eastAsia" w:eastAsia="方正仿宋_GBK" w:cs="仿宋_GB2312"/>
          <w:color w:val="auto"/>
          <w:sz w:val="32"/>
          <w:szCs w:val="32"/>
          <w:highlight w:val="none"/>
          <w:lang w:val="en-US" w:eastAsia="zh-CN"/>
        </w:rPr>
        <w:t>26.07</w:t>
      </w:r>
      <w:r>
        <w:rPr>
          <w:rFonts w:hint="eastAsia" w:ascii="Times New Roman" w:hAnsi="Times New Roman" w:eastAsia="方正仿宋_GBK" w:cs="仿宋_GB2312"/>
          <w:color w:val="auto"/>
          <w:sz w:val="32"/>
          <w:szCs w:val="32"/>
          <w:highlight w:val="none"/>
          <w:lang w:val="en-US" w:eastAsia="zh-CN"/>
        </w:rPr>
        <w:t>%。主要变动原因是</w:t>
      </w:r>
      <w:r>
        <w:rPr>
          <w:rFonts w:hint="eastAsia" w:eastAsia="方正仿宋_GBK" w:cs="仿宋_GB2312"/>
          <w:color w:val="auto"/>
          <w:sz w:val="32"/>
          <w:szCs w:val="32"/>
          <w:highlight w:val="none"/>
          <w:lang w:val="en-US" w:eastAsia="zh-CN"/>
        </w:rPr>
        <w:t>市委网信办独立预算</w:t>
      </w:r>
      <w:r>
        <w:rPr>
          <w:rFonts w:hint="eastAsia" w:ascii="Times New Roman" w:hAnsi="Times New Roman" w:eastAsia="方正仿宋_GBK" w:cs="仿宋_GB2312"/>
          <w:color w:val="auto"/>
          <w:sz w:val="32"/>
          <w:szCs w:val="32"/>
          <w:highlight w:val="none"/>
          <w:lang w:val="en-US" w:eastAsia="zh-CN"/>
        </w:rPr>
        <w:t>。</w:t>
      </w:r>
    </w:p>
    <w:p w14:paraId="1E184970">
      <w:pPr>
        <w:pStyle w:val="23"/>
        <w:rPr>
          <w:rFonts w:hint="eastAsia" w:ascii="Times New Roman" w:hAnsi="Times New Roman" w:eastAsia="方正仿宋_GBK" w:cs="仿宋_GB2312"/>
          <w:kern w:val="2"/>
          <w:sz w:val="32"/>
          <w:szCs w:val="32"/>
          <w:lang w:val="en-US" w:eastAsia="zh-CN"/>
        </w:rPr>
      </w:pPr>
    </w:p>
    <w:p w14:paraId="78A50A43">
      <w:pPr>
        <w:jc w:val="center"/>
        <w:rPr>
          <w:rFonts w:hint="eastAsia" w:ascii="Times New Roman" w:hAnsi="Times New Roman" w:eastAsia="方正仿宋_GBK" w:cs="仿宋_GB2312"/>
          <w:kern w:val="2"/>
          <w:sz w:val="32"/>
          <w:szCs w:val="32"/>
          <w:lang w:val="en-US" w:eastAsia="zh-CN"/>
        </w:rPr>
      </w:pPr>
    </w:p>
    <w:p w14:paraId="2AC6A8EC">
      <w:pPr>
        <w:pStyle w:val="2"/>
        <w:rPr>
          <w:rFonts w:ascii="Times New Roman" w:hAnsi="Times New Roman" w:eastAsia="方正仿宋_GBK"/>
        </w:rPr>
      </w:pPr>
      <w:r>
        <w:rPr>
          <w:rFonts w:hint="eastAsia" w:ascii="Times New Roman" w:hAnsi="Times New Roman" w:eastAsia="方正仿宋_GBK" w:cs="仿宋_GB2312"/>
          <w:kern w:val="2"/>
          <w:sz w:val="32"/>
          <w:szCs w:val="32"/>
          <w:lang w:val="en-US" w:eastAsia="zh-CN"/>
        </w:rPr>
        <w:drawing>
          <wp:inline distT="0" distB="0" distL="114300" distR="114300">
            <wp:extent cx="5256530" cy="2988310"/>
            <wp:effectExtent l="0" t="0" r="0"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F178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（图5：一般公共预算财政拨款支出决算变动情况）（柱状图）</w:t>
      </w:r>
    </w:p>
    <w:p w14:paraId="796D84FA">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楷体_GBK" w:cs="方正楷体_GBK"/>
          <w:color w:val="auto"/>
          <w:sz w:val="32"/>
          <w:szCs w:val="32"/>
          <w:highlight w:val="none"/>
          <w:lang w:eastAsia="zh-CN"/>
        </w:rPr>
      </w:pPr>
      <w:bookmarkStart w:id="30" w:name="_Toc15377211"/>
      <w:r>
        <w:rPr>
          <w:rFonts w:hint="eastAsia" w:ascii="Times New Roman" w:hAnsi="Times New Roman" w:eastAsia="方正楷体_GBK" w:cs="方正楷体_GBK"/>
          <w:color w:val="auto"/>
          <w:sz w:val="32"/>
          <w:szCs w:val="32"/>
          <w:highlight w:val="none"/>
          <w:lang w:eastAsia="zh-CN"/>
        </w:rPr>
        <w:t>（二）一般公共预算财政拨款支出决算结构情况</w:t>
      </w:r>
      <w:bookmarkEnd w:id="30"/>
    </w:p>
    <w:p w14:paraId="576485FA">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9"/>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w:t>
      </w:r>
      <w:r>
        <w:rPr>
          <w:rFonts w:hint="eastAsia" w:eastAsia="方正仿宋_GBK" w:cs="仿宋_GB2312"/>
          <w:color w:val="auto"/>
          <w:sz w:val="32"/>
          <w:szCs w:val="32"/>
          <w:highlight w:val="none"/>
          <w:lang w:val="en-US" w:eastAsia="zh-CN"/>
        </w:rPr>
        <w:t>5</w:t>
      </w:r>
      <w:r>
        <w:rPr>
          <w:rFonts w:hint="eastAsia" w:ascii="Times New Roman" w:hAnsi="Times New Roman" w:eastAsia="方正仿宋_GBK" w:cs="仿宋_GB2312"/>
          <w:color w:val="auto"/>
          <w:sz w:val="32"/>
          <w:szCs w:val="32"/>
          <w:highlight w:val="none"/>
          <w:lang w:val="en-US" w:eastAsia="zh-CN"/>
        </w:rPr>
        <w:t>年度一般公共预算财政拨款支出</w:t>
      </w:r>
      <w:r>
        <w:rPr>
          <w:rFonts w:hint="eastAsia" w:eastAsia="方正仿宋_GBK" w:cs="仿宋_GB2312"/>
          <w:color w:val="auto"/>
          <w:sz w:val="32"/>
          <w:szCs w:val="32"/>
          <w:highlight w:val="none"/>
          <w:lang w:val="en-US" w:eastAsia="zh-CN"/>
        </w:rPr>
        <w:t>2231.23</w:t>
      </w:r>
      <w:r>
        <w:rPr>
          <w:rFonts w:hint="eastAsia" w:ascii="Times New Roman" w:hAnsi="Times New Roman" w:eastAsia="方正仿宋_GBK" w:cs="仿宋_GB2312"/>
          <w:color w:val="auto"/>
          <w:sz w:val="32"/>
          <w:szCs w:val="32"/>
          <w:highlight w:val="none"/>
          <w:lang w:val="en-US" w:eastAsia="zh-CN"/>
        </w:rPr>
        <w:t>万元，主要用于以下方面：一般公共服务支出</w:t>
      </w:r>
      <w:r>
        <w:rPr>
          <w:rFonts w:hint="eastAsia" w:eastAsia="方正仿宋_GBK" w:cs="仿宋_GB2312"/>
          <w:color w:val="auto"/>
          <w:sz w:val="32"/>
          <w:szCs w:val="32"/>
          <w:highlight w:val="none"/>
          <w:lang w:val="en-US" w:eastAsia="zh-CN"/>
        </w:rPr>
        <w:t>1972.67</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88.41</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；文化旅游体育与传媒支出</w:t>
      </w:r>
      <w:r>
        <w:rPr>
          <w:rFonts w:hint="eastAsia" w:eastAsia="方正仿宋_GBK" w:cs="仿宋_GB2312"/>
          <w:color w:val="auto"/>
          <w:sz w:val="32"/>
          <w:szCs w:val="32"/>
          <w:highlight w:val="none"/>
          <w:lang w:val="en-US" w:eastAsia="zh-CN"/>
        </w:rPr>
        <w:t>3</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0.13</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；社会保障和就业支出</w:t>
      </w:r>
      <w:r>
        <w:rPr>
          <w:rFonts w:hint="eastAsia" w:eastAsia="方正仿宋_GBK" w:cs="仿宋_GB2312"/>
          <w:color w:val="auto"/>
          <w:sz w:val="32"/>
          <w:szCs w:val="32"/>
          <w:highlight w:val="none"/>
          <w:lang w:val="en-US" w:eastAsia="zh-CN"/>
        </w:rPr>
        <w:t>114.28</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5.12</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；卫生健康支出</w:t>
      </w:r>
      <w:r>
        <w:rPr>
          <w:rFonts w:hint="eastAsia" w:eastAsia="方正仿宋_GBK" w:cs="仿宋_GB2312"/>
          <w:color w:val="auto"/>
          <w:sz w:val="32"/>
          <w:szCs w:val="32"/>
          <w:highlight w:val="none"/>
          <w:lang w:val="en-US" w:eastAsia="zh-CN"/>
        </w:rPr>
        <w:t>51.07</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2.29</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；住房保障支出</w:t>
      </w:r>
      <w:r>
        <w:rPr>
          <w:rFonts w:hint="eastAsia" w:eastAsia="方正仿宋_GBK" w:cs="仿宋_GB2312"/>
          <w:color w:val="auto"/>
          <w:sz w:val="32"/>
          <w:szCs w:val="32"/>
          <w:highlight w:val="none"/>
          <w:lang w:val="en-US" w:eastAsia="zh-CN"/>
        </w:rPr>
        <w:t>81.49</w:t>
      </w:r>
      <w:r>
        <w:rPr>
          <w:rFonts w:hint="eastAsia" w:ascii="Times New Roman" w:hAnsi="Times New Roman" w:eastAsia="方正仿宋_GBK" w:cs="仿宋_GB2312"/>
          <w:color w:val="auto"/>
          <w:sz w:val="32"/>
          <w:szCs w:val="32"/>
          <w:highlight w:val="none"/>
          <w:lang w:val="en-US" w:eastAsia="zh-CN"/>
        </w:rPr>
        <w:t>万元，占总支出的</w:t>
      </w:r>
      <w:r>
        <w:rPr>
          <w:rFonts w:hint="eastAsia" w:eastAsia="方正仿宋_GBK" w:cs="仿宋_GB2312"/>
          <w:color w:val="auto"/>
          <w:sz w:val="32"/>
          <w:szCs w:val="32"/>
          <w:highlight w:val="none"/>
          <w:lang w:val="en-US" w:eastAsia="zh-CN"/>
        </w:rPr>
        <w:t>3.65</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w:t>
      </w:r>
      <w:r>
        <w:rPr>
          <w:rFonts w:hint="eastAsia" w:eastAsia="方正仿宋_GBK" w:cs="仿宋_GB2312"/>
          <w:color w:val="auto"/>
          <w:sz w:val="32"/>
          <w:szCs w:val="32"/>
          <w:highlight w:val="none"/>
          <w:lang w:val="en-US" w:eastAsia="zh-CN"/>
        </w:rPr>
        <w:t>教育</w:t>
      </w:r>
      <w:r>
        <w:rPr>
          <w:rFonts w:hint="eastAsia" w:ascii="Times New Roman" w:hAnsi="Times New Roman" w:eastAsia="方正仿宋_GBK" w:cs="仿宋_GB2312"/>
          <w:color w:val="auto"/>
          <w:sz w:val="32"/>
          <w:szCs w:val="32"/>
          <w:highlight w:val="none"/>
          <w:lang w:val="en-US" w:eastAsia="zh-CN"/>
        </w:rPr>
        <w:t>支出</w:t>
      </w:r>
      <w:r>
        <w:rPr>
          <w:rFonts w:hint="eastAsia" w:eastAsia="方正仿宋_GBK" w:cs="仿宋_GB2312"/>
          <w:color w:val="auto"/>
          <w:sz w:val="32"/>
          <w:szCs w:val="32"/>
          <w:highlight w:val="none"/>
          <w:lang w:val="en-US" w:eastAsia="zh-CN"/>
        </w:rPr>
        <w:t>8.72</w:t>
      </w:r>
      <w:r>
        <w:rPr>
          <w:rFonts w:hint="eastAsia" w:ascii="Times New Roman" w:hAnsi="Times New Roman" w:eastAsia="方正仿宋_GBK" w:cs="仿宋_GB2312"/>
          <w:color w:val="auto"/>
          <w:sz w:val="32"/>
          <w:szCs w:val="32"/>
          <w:highlight w:val="none"/>
          <w:lang w:val="en-US" w:eastAsia="zh-CN"/>
        </w:rPr>
        <w:t>万元，占总支出的</w:t>
      </w:r>
      <w:r>
        <w:rPr>
          <w:rFonts w:ascii="Times New Roman" w:hAnsi="Times New Roman" w:eastAsia="方正仿宋_GBK" w:cs="仿宋_GB2312"/>
          <w:color w:val="auto"/>
          <w:sz w:val="32"/>
          <w:szCs w:val="32"/>
          <w:highlight w:val="none"/>
          <w:lang w:val="en-US" w:eastAsia="zh-CN"/>
        </w:rPr>
        <w:t>0</w:t>
      </w:r>
      <w:r>
        <w:rPr>
          <w:rFonts w:hint="eastAsia" w:eastAsia="方正仿宋_GBK" w:cs="仿宋_GB2312"/>
          <w:color w:val="auto"/>
          <w:sz w:val="32"/>
          <w:szCs w:val="32"/>
          <w:highlight w:val="none"/>
          <w:lang w:val="en-US" w:eastAsia="zh-CN"/>
        </w:rPr>
        <w:t>.4</w:t>
      </w:r>
      <w:r>
        <w:rPr>
          <w:rFonts w:ascii="Times New Roman" w:hAnsi="Times New Roman" w:eastAsia="方正仿宋_GBK" w:cs="仿宋_GB2312"/>
          <w:color w:val="auto"/>
          <w:sz w:val="32"/>
          <w:szCs w:val="32"/>
          <w:highlight w:val="none"/>
          <w:lang w:val="en-US" w:eastAsia="zh-CN"/>
        </w:rPr>
        <w:t>%</w:t>
      </w:r>
      <w:r>
        <w:rPr>
          <w:rFonts w:hint="eastAsia" w:ascii="Times New Roman" w:hAnsi="Times New Roman" w:eastAsia="方正仿宋_GBK" w:cs="仿宋_GB2312"/>
          <w:color w:val="auto"/>
          <w:sz w:val="32"/>
          <w:szCs w:val="32"/>
          <w:highlight w:val="none"/>
          <w:lang w:val="en-US" w:eastAsia="zh-CN"/>
        </w:rPr>
        <w:t>。</w:t>
      </w:r>
    </w:p>
    <w:p w14:paraId="41D04B9B">
      <w:pPr>
        <w:pStyle w:val="23"/>
        <w:ind w:left="0" w:firstLine="0" w:firstLineChars="0"/>
        <w:jc w:val="center"/>
        <w:rPr>
          <w:rFonts w:hint="eastAsia" w:ascii="Times New Roman" w:hAnsi="Times New Roman" w:eastAsia="方正仿宋_GBK" w:cs="Times New Roman"/>
          <w:kern w:val="2"/>
          <w:sz w:val="32"/>
          <w:szCs w:val="32"/>
          <w:lang w:val="en-US" w:eastAsia="zh-CN"/>
        </w:rPr>
      </w:pPr>
      <w:r>
        <w:rPr>
          <w:rFonts w:hint="eastAsia" w:ascii="Times New Roman" w:hAnsi="Times New Roman" w:eastAsia="方正仿宋_GBK" w:cs="Times New Roman"/>
          <w:kern w:val="2"/>
          <w:sz w:val="32"/>
          <w:szCs w:val="32"/>
          <w:lang w:val="en-US" w:eastAsia="zh-CN"/>
        </w:rPr>
        <w:drawing>
          <wp:inline distT="0" distB="0" distL="114300" distR="114300">
            <wp:extent cx="5256530" cy="2988310"/>
            <wp:effectExtent l="0" t="0" r="0" b="0"/>
            <wp:docPr id="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4F324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（图6：一般公共预算财政拨款支出决算结构）（饼状图）</w:t>
      </w:r>
    </w:p>
    <w:p w14:paraId="65A6CA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31" w:name="_Toc15377212"/>
      <w:r>
        <w:rPr>
          <w:rFonts w:hint="eastAsia" w:ascii="Times New Roman" w:hAnsi="Times New Roman" w:eastAsia="方正楷体_GBK" w:cs="方正楷体_GBK"/>
          <w:b w:val="0"/>
          <w:bCs/>
          <w:color w:val="auto"/>
          <w:sz w:val="32"/>
          <w:szCs w:val="32"/>
          <w:highlight w:val="none"/>
        </w:rPr>
        <w:t>（三）一般公共预算财政拨款支出决算具体情况</w:t>
      </w:r>
      <w:bookmarkEnd w:id="31"/>
    </w:p>
    <w:p w14:paraId="48752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Times New Roman" w:hAnsi="Times New Roman" w:eastAsia="方正仿宋_GBK" w:cs="仿宋_GB2312"/>
          <w:color w:val="auto"/>
          <w:kern w:val="2"/>
          <w:sz w:val="32"/>
          <w:szCs w:val="32"/>
          <w:highlight w:val="none"/>
          <w:lang w:val="en-US" w:eastAsia="zh-CN" w:bidi="ar-SA"/>
        </w:rPr>
      </w:pPr>
      <w:bookmarkStart w:id="32" w:name="_Toc15378460"/>
      <w:bookmarkStart w:id="33" w:name="_Toc15377444"/>
      <w:bookmarkStart w:id="34" w:name="_Toc15377213"/>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年度一般公共预算财政拨款支出决算数为</w:t>
      </w:r>
      <w:r>
        <w:rPr>
          <w:rFonts w:hint="eastAsia" w:eastAsia="方正仿宋_GBK" w:cs="仿宋_GB2312"/>
          <w:kern w:val="2"/>
          <w:sz w:val="32"/>
          <w:szCs w:val="32"/>
          <w:lang w:val="en-US" w:eastAsia="zh-CN"/>
        </w:rPr>
        <w:t>2231.23</w:t>
      </w:r>
      <w:r>
        <w:rPr>
          <w:rFonts w:hint="eastAsia" w:ascii="Times New Roman" w:hAnsi="Times New Roman" w:eastAsia="方正仿宋_GBK" w:cs="仿宋_GB2312"/>
          <w:color w:val="auto"/>
          <w:kern w:val="2"/>
          <w:sz w:val="32"/>
          <w:szCs w:val="32"/>
          <w:highlight w:val="none"/>
          <w:lang w:val="en-US" w:eastAsia="zh-CN" w:bidi="ar-SA"/>
        </w:rPr>
        <w:t>万元，完成预算100%。其中：</w:t>
      </w:r>
      <w:bookmarkEnd w:id="32"/>
      <w:bookmarkEnd w:id="33"/>
      <w:bookmarkEnd w:id="34"/>
    </w:p>
    <w:p w14:paraId="4DD40E04">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方正仿宋_GBK"/>
          <w:b w:val="0"/>
          <w:bCs w:val="0"/>
          <w:lang w:val="en-US" w:eastAsia="zh-CN"/>
        </w:rPr>
      </w:pPr>
      <w:r>
        <w:rPr>
          <w:rFonts w:hint="eastAsia" w:ascii="Times New Roman" w:hAnsi="Times New Roman" w:eastAsia="方正仿宋_GBK" w:cs="仿宋_GB2312"/>
          <w:b w:val="0"/>
          <w:bCs w:val="0"/>
          <w:color w:val="auto"/>
          <w:kern w:val="2"/>
          <w:sz w:val="32"/>
          <w:szCs w:val="32"/>
          <w:highlight w:val="none"/>
          <w:lang w:val="en-US" w:eastAsia="zh-CN" w:bidi="ar-SA"/>
        </w:rPr>
        <w:t>1.一般公共服务支出</w:t>
      </w:r>
      <w:r>
        <w:rPr>
          <w:rStyle w:val="33"/>
          <w:rFonts w:ascii="Times New Roman" w:hAnsi="Times New Roman" w:eastAsia="方正仿宋_GBK" w:cs="仿宋"/>
          <w:b w:val="0"/>
          <w:bCs w:val="0"/>
          <w:kern w:val="2"/>
          <w:sz w:val="32"/>
          <w:szCs w:val="32"/>
          <w:lang w:val="en-US" w:eastAsia="zh-CN"/>
        </w:rPr>
        <w:t>（类）纪检监察事务（款）派驻派出机构（项）</w:t>
      </w:r>
      <w:r>
        <w:rPr>
          <w:rStyle w:val="33"/>
          <w:rFonts w:ascii="Times New Roman" w:hAnsi="Times New Roman" w:eastAsia="方正仿宋_GBK" w:cs="Times New Roman"/>
          <w:b w:val="0"/>
          <w:bCs w:val="0"/>
          <w:kern w:val="2"/>
          <w:sz w:val="32"/>
          <w:szCs w:val="32"/>
          <w:lang w:val="en-US" w:eastAsia="zh-CN"/>
        </w:rPr>
        <w:t>:</w:t>
      </w:r>
      <w:r>
        <w:rPr>
          <w:rFonts w:hint="eastAsia" w:ascii="Times New Roman" w:hAnsi="Times New Roman" w:eastAsia="方正仿宋_GBK" w:cs="仿宋_GB2312"/>
          <w:b w:val="0"/>
          <w:bCs w:val="0"/>
          <w:color w:val="auto"/>
          <w:kern w:val="2"/>
          <w:sz w:val="32"/>
          <w:szCs w:val="32"/>
          <w:highlight w:val="none"/>
          <w:lang w:val="en-US" w:eastAsia="zh-CN" w:bidi="ar-SA"/>
        </w:rPr>
        <w:t>决算为</w:t>
      </w:r>
      <w:r>
        <w:rPr>
          <w:rFonts w:hint="eastAsia" w:eastAsia="方正仿宋_GBK" w:cs="仿宋_GB2312"/>
          <w:b w:val="0"/>
          <w:bCs w:val="0"/>
          <w:color w:val="auto"/>
          <w:kern w:val="2"/>
          <w:sz w:val="32"/>
          <w:szCs w:val="32"/>
          <w:highlight w:val="none"/>
          <w:lang w:val="en-US" w:eastAsia="zh-CN" w:bidi="ar-SA"/>
        </w:rPr>
        <w:t>6.57</w:t>
      </w:r>
      <w:r>
        <w:rPr>
          <w:rFonts w:hint="eastAsia" w:ascii="Times New Roman" w:hAnsi="Times New Roman" w:eastAsia="方正仿宋_GBK" w:cs="仿宋_GB2312"/>
          <w:b w:val="0"/>
          <w:bCs w:val="0"/>
          <w:color w:val="auto"/>
          <w:kern w:val="2"/>
          <w:sz w:val="32"/>
          <w:szCs w:val="32"/>
          <w:highlight w:val="none"/>
          <w:lang w:val="en-US" w:eastAsia="zh-CN" w:bidi="ar-SA"/>
        </w:rPr>
        <w:t>万元，完成预算100%。</w:t>
      </w:r>
    </w:p>
    <w:p w14:paraId="749A9043">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方正仿宋_GBK"/>
          <w:b w:val="0"/>
          <w:bCs w:val="0"/>
          <w:lang w:val="en-US" w:eastAsia="zh-CN"/>
        </w:rPr>
      </w:pPr>
      <w:r>
        <w:rPr>
          <w:rFonts w:hint="eastAsia" w:ascii="Times New Roman" w:hAnsi="Times New Roman" w:eastAsia="方正仿宋_GBK" w:cs="仿宋_GB2312"/>
          <w:b w:val="0"/>
          <w:bCs w:val="0"/>
          <w:color w:val="auto"/>
          <w:kern w:val="2"/>
          <w:sz w:val="32"/>
          <w:szCs w:val="32"/>
          <w:highlight w:val="none"/>
          <w:lang w:val="en-US" w:eastAsia="zh-CN" w:bidi="ar-SA"/>
        </w:rPr>
        <w:t>2.一般公共服务支出</w:t>
      </w:r>
      <w:r>
        <w:rPr>
          <w:rStyle w:val="33"/>
          <w:rFonts w:ascii="Times New Roman" w:hAnsi="Times New Roman" w:eastAsia="方正仿宋_GBK" w:cs="仿宋"/>
          <w:b w:val="0"/>
          <w:bCs w:val="0"/>
          <w:kern w:val="2"/>
          <w:sz w:val="32"/>
          <w:szCs w:val="32"/>
          <w:lang w:val="en-US" w:eastAsia="zh-CN"/>
        </w:rPr>
        <w:t>（类）</w:t>
      </w:r>
      <w:r>
        <w:rPr>
          <w:rStyle w:val="33"/>
          <w:rFonts w:hint="eastAsia" w:eastAsia="方正仿宋_GBK" w:cs="仿宋"/>
          <w:b w:val="0"/>
          <w:bCs w:val="0"/>
          <w:kern w:val="2"/>
          <w:sz w:val="32"/>
          <w:szCs w:val="32"/>
          <w:lang w:val="en-US" w:eastAsia="zh-CN"/>
        </w:rPr>
        <w:t>党委办公厅（室）及相关机构事务</w:t>
      </w:r>
      <w:r>
        <w:rPr>
          <w:rStyle w:val="33"/>
          <w:rFonts w:ascii="Times New Roman" w:hAnsi="Times New Roman" w:eastAsia="方正仿宋_GBK" w:cs="仿宋"/>
          <w:b w:val="0"/>
          <w:bCs w:val="0"/>
          <w:kern w:val="2"/>
          <w:sz w:val="32"/>
          <w:szCs w:val="32"/>
          <w:lang w:val="en-US" w:eastAsia="zh-CN"/>
        </w:rPr>
        <w:t>（款）</w:t>
      </w:r>
      <w:r>
        <w:rPr>
          <w:rStyle w:val="33"/>
          <w:rFonts w:hint="eastAsia" w:eastAsia="方正仿宋_GBK" w:cs="仿宋"/>
          <w:b w:val="0"/>
          <w:bCs w:val="0"/>
          <w:kern w:val="2"/>
          <w:sz w:val="32"/>
          <w:szCs w:val="32"/>
          <w:lang w:val="en-US" w:eastAsia="zh-CN"/>
        </w:rPr>
        <w:t>行政运行</w:t>
      </w:r>
      <w:r>
        <w:rPr>
          <w:rStyle w:val="33"/>
          <w:rFonts w:ascii="Times New Roman" w:hAnsi="Times New Roman" w:eastAsia="方正仿宋_GBK" w:cs="仿宋"/>
          <w:b w:val="0"/>
          <w:bCs w:val="0"/>
          <w:kern w:val="2"/>
          <w:sz w:val="32"/>
          <w:szCs w:val="32"/>
          <w:lang w:val="en-US" w:eastAsia="zh-CN"/>
        </w:rPr>
        <w:t>（项）</w:t>
      </w:r>
      <w:r>
        <w:rPr>
          <w:rStyle w:val="33"/>
          <w:rFonts w:ascii="Times New Roman" w:hAnsi="Times New Roman" w:eastAsia="方正仿宋_GBK" w:cs="Times New Roman"/>
          <w:b w:val="0"/>
          <w:bCs w:val="0"/>
          <w:kern w:val="2"/>
          <w:sz w:val="32"/>
          <w:szCs w:val="32"/>
          <w:lang w:val="en-US" w:eastAsia="zh-CN"/>
        </w:rPr>
        <w:t>:</w:t>
      </w:r>
      <w:r>
        <w:rPr>
          <w:rFonts w:hint="eastAsia" w:ascii="Times New Roman" w:hAnsi="Times New Roman" w:eastAsia="方正仿宋_GBK" w:cs="仿宋_GB2312"/>
          <w:b w:val="0"/>
          <w:bCs w:val="0"/>
          <w:color w:val="auto"/>
          <w:kern w:val="2"/>
          <w:sz w:val="32"/>
          <w:szCs w:val="32"/>
          <w:highlight w:val="none"/>
          <w:lang w:val="en-US" w:eastAsia="zh-CN" w:bidi="ar-SA"/>
        </w:rPr>
        <w:t>决算为</w:t>
      </w:r>
      <w:r>
        <w:rPr>
          <w:rFonts w:hint="eastAsia" w:eastAsia="方正仿宋_GBK" w:cs="仿宋_GB2312"/>
          <w:b w:val="0"/>
          <w:bCs w:val="0"/>
          <w:color w:val="auto"/>
          <w:kern w:val="2"/>
          <w:sz w:val="32"/>
          <w:szCs w:val="32"/>
          <w:highlight w:val="none"/>
          <w:lang w:val="en-US" w:eastAsia="zh-CN" w:bidi="ar-SA"/>
        </w:rPr>
        <w:t>9.66</w:t>
      </w:r>
      <w:r>
        <w:rPr>
          <w:rFonts w:hint="eastAsia" w:ascii="Times New Roman" w:hAnsi="Times New Roman" w:eastAsia="方正仿宋_GBK" w:cs="仿宋_GB2312"/>
          <w:b w:val="0"/>
          <w:bCs w:val="0"/>
          <w:color w:val="auto"/>
          <w:kern w:val="2"/>
          <w:sz w:val="32"/>
          <w:szCs w:val="32"/>
          <w:highlight w:val="none"/>
          <w:lang w:val="en-US" w:eastAsia="zh-CN" w:bidi="ar-SA"/>
        </w:rPr>
        <w:t>万元，完成预算100%。</w:t>
      </w:r>
    </w:p>
    <w:p w14:paraId="1D74BD13">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b w:val="0"/>
          <w:bCs w:val="0"/>
          <w:kern w:val="2"/>
          <w:sz w:val="32"/>
          <w:szCs w:val="32"/>
          <w:lang w:val="en-US" w:eastAsia="zh-CN"/>
        </w:rPr>
      </w:pPr>
      <w:r>
        <w:rPr>
          <w:rFonts w:hint="eastAsia" w:ascii="Times New Roman" w:hAnsi="Times New Roman" w:eastAsia="方正仿宋_GBK" w:cs="仿宋_GB2312"/>
          <w:b w:val="0"/>
          <w:bCs w:val="0"/>
          <w:kern w:val="2"/>
          <w:sz w:val="32"/>
          <w:szCs w:val="32"/>
          <w:lang w:val="en-US" w:eastAsia="zh-CN"/>
        </w:rPr>
        <w:t>3.</w:t>
      </w:r>
      <w:r>
        <w:rPr>
          <w:rFonts w:ascii="Times New Roman" w:hAnsi="Times New Roman" w:eastAsia="方正仿宋_GBK" w:cs="仿宋_GB2312"/>
          <w:b w:val="0"/>
          <w:bCs w:val="0"/>
          <w:kern w:val="2"/>
          <w:sz w:val="32"/>
          <w:szCs w:val="32"/>
          <w:lang w:val="en-US" w:eastAsia="zh-CN"/>
        </w:rPr>
        <w:t>一般公共服务支出</w:t>
      </w:r>
      <w:r>
        <w:rPr>
          <w:rFonts w:ascii="Times New Roman" w:hAnsi="Times New Roman" w:eastAsia="方正仿宋_GBK" w:cs="仿宋"/>
          <w:b w:val="0"/>
          <w:bCs w:val="0"/>
          <w:kern w:val="2"/>
          <w:sz w:val="32"/>
          <w:szCs w:val="32"/>
          <w:lang w:val="en-US" w:eastAsia="zh-CN"/>
        </w:rPr>
        <w:t>（类）</w:t>
      </w:r>
      <w:r>
        <w:rPr>
          <w:rFonts w:hint="eastAsia" w:ascii="Times New Roman" w:hAnsi="Times New Roman" w:eastAsia="方正仿宋_GBK" w:cs="仿宋"/>
          <w:b w:val="0"/>
          <w:bCs w:val="0"/>
          <w:kern w:val="2"/>
          <w:sz w:val="32"/>
          <w:szCs w:val="32"/>
          <w:lang w:val="en-US" w:eastAsia="zh-CN"/>
        </w:rPr>
        <w:t>宣传事务</w:t>
      </w:r>
      <w:r>
        <w:rPr>
          <w:rFonts w:ascii="Times New Roman" w:hAnsi="Times New Roman" w:eastAsia="方正仿宋_GBK" w:cs="仿宋"/>
          <w:b w:val="0"/>
          <w:bCs w:val="0"/>
          <w:kern w:val="2"/>
          <w:sz w:val="32"/>
          <w:szCs w:val="32"/>
          <w:lang w:val="en-US" w:eastAsia="zh-CN"/>
        </w:rPr>
        <w:t>（款）</w:t>
      </w:r>
      <w:r>
        <w:rPr>
          <w:rFonts w:hint="eastAsia" w:ascii="Times New Roman" w:hAnsi="Times New Roman" w:eastAsia="方正仿宋_GBK" w:cs="仿宋"/>
          <w:b w:val="0"/>
          <w:bCs w:val="0"/>
          <w:kern w:val="2"/>
          <w:sz w:val="32"/>
          <w:szCs w:val="32"/>
          <w:lang w:val="en-US" w:eastAsia="zh-CN"/>
        </w:rPr>
        <w:t>行政运行</w:t>
      </w:r>
      <w:r>
        <w:rPr>
          <w:rFonts w:ascii="Times New Roman" w:hAnsi="Times New Roman" w:eastAsia="方正仿宋_GBK" w:cs="仿宋"/>
          <w:b w:val="0"/>
          <w:bCs w:val="0"/>
          <w:kern w:val="2"/>
          <w:sz w:val="32"/>
          <w:szCs w:val="32"/>
          <w:lang w:val="en-US" w:eastAsia="zh-CN"/>
        </w:rPr>
        <w:t>（项）</w:t>
      </w:r>
      <w:r>
        <w:rPr>
          <w:rFonts w:ascii="Times New Roman" w:hAnsi="Times New Roman" w:eastAsia="方正仿宋_GBK" w:cs="Times New Roman"/>
          <w:b w:val="0"/>
          <w:bCs w:val="0"/>
          <w:kern w:val="2"/>
          <w:sz w:val="32"/>
          <w:szCs w:val="32"/>
          <w:lang w:val="en-US" w:eastAsia="zh-CN"/>
        </w:rPr>
        <w:t>:</w:t>
      </w:r>
      <w:r>
        <w:rPr>
          <w:rFonts w:ascii="Times New Roman" w:hAnsi="Times New Roman" w:eastAsia="方正仿宋_GBK" w:cs="仿宋_GB2312"/>
          <w:b w:val="0"/>
          <w:bCs w:val="0"/>
          <w:kern w:val="2"/>
          <w:sz w:val="32"/>
          <w:szCs w:val="32"/>
          <w:lang w:val="en-US" w:eastAsia="zh-CN"/>
        </w:rPr>
        <w:t>决算为</w:t>
      </w:r>
      <w:r>
        <w:rPr>
          <w:rFonts w:hint="eastAsia" w:eastAsia="方正仿宋_GBK" w:cs="Times New Roman"/>
          <w:b w:val="0"/>
          <w:bCs w:val="0"/>
          <w:kern w:val="2"/>
          <w:sz w:val="32"/>
          <w:szCs w:val="32"/>
          <w:lang w:val="en-US" w:eastAsia="zh-CN"/>
        </w:rPr>
        <w:t>599.81</w:t>
      </w:r>
      <w:r>
        <w:rPr>
          <w:rFonts w:ascii="Times New Roman" w:hAnsi="Times New Roman" w:eastAsia="方正仿宋_GBK" w:cs="仿宋_GB2312"/>
          <w:b w:val="0"/>
          <w:bCs w:val="0"/>
          <w:kern w:val="2"/>
          <w:sz w:val="32"/>
          <w:szCs w:val="32"/>
          <w:lang w:val="en-US" w:eastAsia="zh-CN"/>
        </w:rPr>
        <w:t>万元，完成预算</w:t>
      </w:r>
      <w:r>
        <w:rPr>
          <w:rFonts w:ascii="Times New Roman" w:hAnsi="Times New Roman" w:eastAsia="方正仿宋_GBK" w:cs="Times New Roman"/>
          <w:b w:val="0"/>
          <w:bCs w:val="0"/>
          <w:kern w:val="2"/>
          <w:sz w:val="32"/>
          <w:szCs w:val="32"/>
          <w:lang w:val="en-US" w:eastAsia="zh-CN"/>
        </w:rPr>
        <w:t>100%</w:t>
      </w:r>
      <w:r>
        <w:rPr>
          <w:rFonts w:ascii="Times New Roman" w:hAnsi="Times New Roman" w:eastAsia="方正仿宋_GBK" w:cs="仿宋_GB2312"/>
          <w:b w:val="0"/>
          <w:bCs w:val="0"/>
          <w:kern w:val="2"/>
          <w:sz w:val="32"/>
          <w:szCs w:val="32"/>
          <w:lang w:val="en-US" w:eastAsia="zh-CN"/>
        </w:rPr>
        <w:t>。</w:t>
      </w:r>
    </w:p>
    <w:p w14:paraId="475C933F">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方正仿宋_GBK" w:cs="Times New Roman"/>
          <w:b w:val="0"/>
          <w:bCs w:val="0"/>
          <w:kern w:val="2"/>
          <w:sz w:val="21"/>
          <w:szCs w:val="21"/>
        </w:rPr>
      </w:pPr>
      <w:r>
        <w:rPr>
          <w:rFonts w:hint="eastAsia" w:ascii="Times New Roman" w:hAnsi="Times New Roman" w:eastAsia="方正仿宋_GBK" w:cs="仿宋_GB2312"/>
          <w:b w:val="0"/>
          <w:bCs w:val="0"/>
          <w:kern w:val="2"/>
          <w:sz w:val="32"/>
          <w:szCs w:val="32"/>
          <w:lang w:val="en-US" w:eastAsia="zh-CN"/>
        </w:rPr>
        <w:t>4.</w:t>
      </w:r>
      <w:r>
        <w:rPr>
          <w:rFonts w:ascii="Times New Roman" w:hAnsi="Times New Roman" w:eastAsia="方正仿宋_GBK" w:cs="仿宋_GB2312"/>
          <w:b w:val="0"/>
          <w:bCs w:val="0"/>
          <w:kern w:val="2"/>
          <w:sz w:val="32"/>
          <w:szCs w:val="32"/>
          <w:lang w:val="en-US" w:eastAsia="zh-CN"/>
        </w:rPr>
        <w:t>一般公共服务支出</w:t>
      </w:r>
      <w:r>
        <w:rPr>
          <w:rFonts w:ascii="Times New Roman" w:hAnsi="Times New Roman" w:eastAsia="方正仿宋_GBK" w:cs="仿宋"/>
          <w:b w:val="0"/>
          <w:bCs w:val="0"/>
          <w:kern w:val="2"/>
          <w:sz w:val="32"/>
          <w:szCs w:val="32"/>
          <w:lang w:val="en-US" w:eastAsia="zh-CN"/>
        </w:rPr>
        <w:t>（类）</w:t>
      </w:r>
      <w:r>
        <w:rPr>
          <w:rFonts w:hint="eastAsia" w:ascii="Times New Roman" w:hAnsi="Times New Roman" w:eastAsia="方正仿宋_GBK" w:cs="仿宋"/>
          <w:b w:val="0"/>
          <w:bCs w:val="0"/>
          <w:kern w:val="2"/>
          <w:sz w:val="32"/>
          <w:szCs w:val="32"/>
          <w:lang w:val="en-US" w:eastAsia="zh-CN"/>
        </w:rPr>
        <w:t>宣传事务</w:t>
      </w:r>
      <w:r>
        <w:rPr>
          <w:rFonts w:ascii="Times New Roman" w:hAnsi="Times New Roman" w:eastAsia="方正仿宋_GBK" w:cs="仿宋"/>
          <w:b w:val="0"/>
          <w:bCs w:val="0"/>
          <w:kern w:val="2"/>
          <w:sz w:val="32"/>
          <w:szCs w:val="32"/>
          <w:lang w:val="en-US" w:eastAsia="zh-CN"/>
        </w:rPr>
        <w:t>（款）</w:t>
      </w:r>
      <w:r>
        <w:rPr>
          <w:rFonts w:hint="eastAsia" w:ascii="Times New Roman" w:hAnsi="Times New Roman" w:eastAsia="方正仿宋_GBK" w:cs="仿宋"/>
          <w:b w:val="0"/>
          <w:bCs w:val="0"/>
          <w:kern w:val="2"/>
          <w:sz w:val="32"/>
          <w:szCs w:val="32"/>
          <w:lang w:val="en-US" w:eastAsia="zh-CN"/>
        </w:rPr>
        <w:t>一般行政管理事务</w:t>
      </w:r>
      <w:r>
        <w:rPr>
          <w:rFonts w:ascii="Times New Roman" w:hAnsi="Times New Roman" w:eastAsia="方正仿宋_GBK" w:cs="仿宋"/>
          <w:b w:val="0"/>
          <w:bCs w:val="0"/>
          <w:kern w:val="2"/>
          <w:sz w:val="32"/>
          <w:szCs w:val="32"/>
          <w:lang w:val="en-US" w:eastAsia="zh-CN"/>
        </w:rPr>
        <w:t>（项）</w:t>
      </w:r>
      <w:r>
        <w:rPr>
          <w:rFonts w:ascii="Times New Roman" w:hAnsi="Times New Roman" w:eastAsia="方正仿宋_GBK" w:cs="Times New Roman"/>
          <w:b w:val="0"/>
          <w:bCs w:val="0"/>
          <w:kern w:val="2"/>
          <w:sz w:val="32"/>
          <w:szCs w:val="32"/>
          <w:lang w:val="en-US" w:eastAsia="zh-CN"/>
        </w:rPr>
        <w:t>:</w:t>
      </w:r>
      <w:r>
        <w:rPr>
          <w:rFonts w:ascii="Times New Roman" w:hAnsi="Times New Roman" w:eastAsia="方正仿宋_GBK" w:cs="仿宋_GB2312"/>
          <w:b w:val="0"/>
          <w:bCs w:val="0"/>
          <w:kern w:val="2"/>
          <w:sz w:val="32"/>
          <w:szCs w:val="32"/>
          <w:lang w:val="en-US" w:eastAsia="zh-CN"/>
        </w:rPr>
        <w:t>决算为</w:t>
      </w:r>
      <w:r>
        <w:rPr>
          <w:rFonts w:hint="eastAsia" w:eastAsia="方正仿宋_GBK" w:cs="Times New Roman"/>
          <w:b w:val="0"/>
          <w:bCs w:val="0"/>
          <w:kern w:val="2"/>
          <w:sz w:val="32"/>
          <w:szCs w:val="32"/>
          <w:lang w:val="en-US" w:eastAsia="zh-CN"/>
        </w:rPr>
        <w:t>450.06</w:t>
      </w:r>
      <w:r>
        <w:rPr>
          <w:rFonts w:ascii="Times New Roman" w:hAnsi="Times New Roman" w:eastAsia="方正仿宋_GBK" w:cs="仿宋_GB2312"/>
          <w:b w:val="0"/>
          <w:bCs w:val="0"/>
          <w:kern w:val="2"/>
          <w:sz w:val="32"/>
          <w:szCs w:val="32"/>
          <w:lang w:val="en-US" w:eastAsia="zh-CN"/>
        </w:rPr>
        <w:t>万元，完成预算</w:t>
      </w:r>
      <w:r>
        <w:rPr>
          <w:rFonts w:ascii="Times New Roman" w:hAnsi="Times New Roman" w:eastAsia="方正仿宋_GBK" w:cs="Times New Roman"/>
          <w:b w:val="0"/>
          <w:bCs w:val="0"/>
          <w:kern w:val="2"/>
          <w:sz w:val="32"/>
          <w:szCs w:val="32"/>
          <w:lang w:val="en-US" w:eastAsia="zh-CN"/>
        </w:rPr>
        <w:t>100%</w:t>
      </w:r>
      <w:r>
        <w:rPr>
          <w:rFonts w:ascii="Times New Roman" w:hAnsi="Times New Roman" w:eastAsia="方正仿宋_GBK" w:cs="仿宋_GB2312"/>
          <w:b w:val="0"/>
          <w:bCs w:val="0"/>
          <w:kern w:val="2"/>
          <w:sz w:val="32"/>
          <w:szCs w:val="32"/>
          <w:lang w:val="en-US" w:eastAsia="zh-CN"/>
        </w:rPr>
        <w:t>。</w:t>
      </w:r>
    </w:p>
    <w:p w14:paraId="21F04CB8">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Times New Roman" w:hAnsi="Times New Roman" w:eastAsia="方正仿宋_GBK" w:cs="Times New Roman"/>
          <w:b w:val="0"/>
          <w:bCs w:val="0"/>
          <w:kern w:val="2"/>
          <w:sz w:val="21"/>
          <w:szCs w:val="21"/>
        </w:rPr>
      </w:pPr>
      <w:r>
        <w:rPr>
          <w:rFonts w:hint="eastAsia" w:ascii="Times New Roman" w:hAnsi="Times New Roman" w:eastAsia="方正仿宋_GBK" w:cs="仿宋_GB2312"/>
          <w:b w:val="0"/>
          <w:bCs w:val="0"/>
          <w:kern w:val="2"/>
          <w:sz w:val="32"/>
          <w:szCs w:val="32"/>
          <w:lang w:val="en-US" w:eastAsia="zh-CN"/>
        </w:rPr>
        <w:t>5.</w:t>
      </w:r>
      <w:r>
        <w:rPr>
          <w:rFonts w:ascii="Times New Roman" w:hAnsi="Times New Roman" w:eastAsia="方正仿宋_GBK" w:cs="仿宋_GB2312"/>
          <w:b w:val="0"/>
          <w:bCs w:val="0"/>
          <w:kern w:val="2"/>
          <w:sz w:val="32"/>
          <w:szCs w:val="32"/>
          <w:lang w:val="en-US" w:eastAsia="zh-CN"/>
        </w:rPr>
        <w:t>一般公共服务支出</w:t>
      </w:r>
      <w:r>
        <w:rPr>
          <w:rFonts w:ascii="Times New Roman" w:hAnsi="Times New Roman" w:eastAsia="方正仿宋_GBK" w:cs="仿宋"/>
          <w:b w:val="0"/>
          <w:bCs w:val="0"/>
          <w:kern w:val="2"/>
          <w:sz w:val="32"/>
          <w:szCs w:val="32"/>
          <w:lang w:val="en-US" w:eastAsia="zh-CN"/>
        </w:rPr>
        <w:t>（类）</w:t>
      </w:r>
      <w:r>
        <w:rPr>
          <w:rFonts w:hint="eastAsia" w:ascii="Times New Roman" w:hAnsi="Times New Roman" w:eastAsia="方正仿宋_GBK" w:cs="仿宋"/>
          <w:b w:val="0"/>
          <w:bCs w:val="0"/>
          <w:kern w:val="2"/>
          <w:sz w:val="32"/>
          <w:szCs w:val="32"/>
          <w:lang w:val="en-US" w:eastAsia="zh-CN"/>
        </w:rPr>
        <w:t>宣传事务</w:t>
      </w:r>
      <w:r>
        <w:rPr>
          <w:rFonts w:ascii="Times New Roman" w:hAnsi="Times New Roman" w:eastAsia="方正仿宋_GBK" w:cs="仿宋"/>
          <w:b w:val="0"/>
          <w:bCs w:val="0"/>
          <w:kern w:val="2"/>
          <w:sz w:val="32"/>
          <w:szCs w:val="32"/>
          <w:lang w:val="en-US" w:eastAsia="zh-CN"/>
        </w:rPr>
        <w:t>（款）</w:t>
      </w:r>
      <w:r>
        <w:rPr>
          <w:rFonts w:hint="eastAsia" w:ascii="Times New Roman" w:hAnsi="Times New Roman" w:eastAsia="方正仿宋_GBK" w:cs="仿宋"/>
          <w:b w:val="0"/>
          <w:bCs w:val="0"/>
          <w:kern w:val="2"/>
          <w:sz w:val="32"/>
          <w:szCs w:val="32"/>
          <w:lang w:val="en-US" w:eastAsia="zh-CN"/>
        </w:rPr>
        <w:t>事业运行</w:t>
      </w:r>
      <w:r>
        <w:rPr>
          <w:rFonts w:ascii="Times New Roman" w:hAnsi="Times New Roman" w:eastAsia="方正仿宋_GBK" w:cs="仿宋"/>
          <w:b w:val="0"/>
          <w:bCs w:val="0"/>
          <w:kern w:val="2"/>
          <w:sz w:val="32"/>
          <w:szCs w:val="32"/>
          <w:lang w:val="en-US" w:eastAsia="zh-CN"/>
        </w:rPr>
        <w:t>（项）</w:t>
      </w:r>
      <w:r>
        <w:rPr>
          <w:rFonts w:ascii="Times New Roman" w:hAnsi="Times New Roman" w:eastAsia="方正仿宋_GBK" w:cs="Times New Roman"/>
          <w:b w:val="0"/>
          <w:bCs w:val="0"/>
          <w:kern w:val="2"/>
          <w:sz w:val="32"/>
          <w:szCs w:val="32"/>
          <w:lang w:val="en-US" w:eastAsia="zh-CN"/>
        </w:rPr>
        <w:t>:</w:t>
      </w:r>
      <w:r>
        <w:rPr>
          <w:rFonts w:ascii="Times New Roman" w:hAnsi="Times New Roman" w:eastAsia="方正仿宋_GBK" w:cs="仿宋_GB2312"/>
          <w:b w:val="0"/>
          <w:bCs w:val="0"/>
          <w:kern w:val="2"/>
          <w:sz w:val="32"/>
          <w:szCs w:val="32"/>
          <w:lang w:val="en-US" w:eastAsia="zh-CN"/>
        </w:rPr>
        <w:t>决算为</w:t>
      </w:r>
      <w:r>
        <w:rPr>
          <w:rFonts w:hint="eastAsia" w:eastAsia="方正仿宋_GBK" w:cs="Times New Roman"/>
          <w:b w:val="0"/>
          <w:bCs w:val="0"/>
          <w:kern w:val="2"/>
          <w:sz w:val="32"/>
          <w:szCs w:val="32"/>
          <w:lang w:val="en-US" w:eastAsia="zh-CN"/>
        </w:rPr>
        <w:t>417.54</w:t>
      </w:r>
      <w:r>
        <w:rPr>
          <w:rFonts w:ascii="Times New Roman" w:hAnsi="Times New Roman" w:eastAsia="方正仿宋_GBK" w:cs="仿宋_GB2312"/>
          <w:b w:val="0"/>
          <w:bCs w:val="0"/>
          <w:kern w:val="2"/>
          <w:sz w:val="32"/>
          <w:szCs w:val="32"/>
          <w:lang w:val="en-US" w:eastAsia="zh-CN"/>
        </w:rPr>
        <w:t>万元，完成预算</w:t>
      </w:r>
      <w:r>
        <w:rPr>
          <w:rFonts w:ascii="Times New Roman" w:hAnsi="Times New Roman" w:eastAsia="方正仿宋_GBK" w:cs="Times New Roman"/>
          <w:b w:val="0"/>
          <w:bCs w:val="0"/>
          <w:kern w:val="2"/>
          <w:sz w:val="32"/>
          <w:szCs w:val="32"/>
          <w:lang w:val="en-US" w:eastAsia="zh-CN"/>
        </w:rPr>
        <w:t>100%</w:t>
      </w:r>
      <w:r>
        <w:rPr>
          <w:rFonts w:ascii="Times New Roman" w:hAnsi="Times New Roman" w:eastAsia="方正仿宋_GBK" w:cs="仿宋_GB2312"/>
          <w:b w:val="0"/>
          <w:bCs w:val="0"/>
          <w:kern w:val="2"/>
          <w:sz w:val="32"/>
          <w:szCs w:val="32"/>
          <w:lang w:val="en-US" w:eastAsia="zh-CN"/>
        </w:rPr>
        <w:t>。</w:t>
      </w:r>
    </w:p>
    <w:p w14:paraId="4B313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b w:val="0"/>
          <w:bCs w:val="0"/>
          <w:kern w:val="2"/>
          <w:sz w:val="32"/>
          <w:szCs w:val="32"/>
          <w:lang w:val="en-US" w:eastAsia="zh-CN"/>
        </w:rPr>
      </w:pPr>
      <w:r>
        <w:rPr>
          <w:rFonts w:hint="eastAsia" w:ascii="Times New Roman" w:hAnsi="Times New Roman" w:eastAsia="方正仿宋_GBK" w:cs="仿宋_GB2312"/>
          <w:b w:val="0"/>
          <w:bCs w:val="0"/>
          <w:kern w:val="2"/>
          <w:sz w:val="32"/>
          <w:szCs w:val="32"/>
          <w:lang w:val="en-US" w:eastAsia="zh-CN"/>
        </w:rPr>
        <w:t>6.</w:t>
      </w:r>
      <w:r>
        <w:rPr>
          <w:rFonts w:ascii="Times New Roman" w:hAnsi="Times New Roman" w:eastAsia="方正仿宋_GBK" w:cs="仿宋_GB2312"/>
          <w:b w:val="0"/>
          <w:bCs w:val="0"/>
          <w:kern w:val="2"/>
          <w:sz w:val="32"/>
          <w:szCs w:val="32"/>
          <w:lang w:val="en-US" w:eastAsia="zh-CN"/>
        </w:rPr>
        <w:t>一般公共服务支出</w:t>
      </w:r>
      <w:r>
        <w:rPr>
          <w:rFonts w:ascii="Times New Roman" w:hAnsi="Times New Roman" w:eastAsia="方正仿宋_GBK" w:cs="仿宋"/>
          <w:b w:val="0"/>
          <w:bCs w:val="0"/>
          <w:kern w:val="2"/>
          <w:sz w:val="32"/>
          <w:szCs w:val="32"/>
          <w:lang w:val="en-US" w:eastAsia="zh-CN"/>
        </w:rPr>
        <w:t>（类）宣传事务（款）</w:t>
      </w:r>
      <w:r>
        <w:rPr>
          <w:rFonts w:hint="eastAsia" w:ascii="Times New Roman" w:hAnsi="Times New Roman" w:eastAsia="方正仿宋_GBK" w:cs="仿宋"/>
          <w:b w:val="0"/>
          <w:bCs w:val="0"/>
          <w:kern w:val="2"/>
          <w:sz w:val="32"/>
          <w:szCs w:val="32"/>
          <w:lang w:val="en-US" w:eastAsia="zh-CN"/>
        </w:rPr>
        <w:t>其他宣传事务支出</w:t>
      </w:r>
      <w:r>
        <w:rPr>
          <w:rFonts w:ascii="Times New Roman" w:hAnsi="Times New Roman" w:eastAsia="方正仿宋_GBK" w:cs="仿宋"/>
          <w:b w:val="0"/>
          <w:bCs w:val="0"/>
          <w:kern w:val="2"/>
          <w:sz w:val="32"/>
          <w:szCs w:val="32"/>
          <w:lang w:val="en-US" w:eastAsia="zh-CN"/>
        </w:rPr>
        <w:t>（项）</w:t>
      </w:r>
      <w:r>
        <w:rPr>
          <w:rFonts w:ascii="Times New Roman" w:hAnsi="Times New Roman" w:eastAsia="方正仿宋_GBK" w:cs="Times New Roman"/>
          <w:b w:val="0"/>
          <w:bCs w:val="0"/>
          <w:kern w:val="2"/>
          <w:sz w:val="32"/>
          <w:szCs w:val="32"/>
          <w:lang w:val="en-US" w:eastAsia="zh-CN"/>
        </w:rPr>
        <w:t>:</w:t>
      </w:r>
      <w:r>
        <w:rPr>
          <w:rFonts w:ascii="Times New Roman" w:hAnsi="Times New Roman" w:eastAsia="方正仿宋_GBK" w:cs="仿宋_GB2312"/>
          <w:b w:val="0"/>
          <w:bCs w:val="0"/>
          <w:kern w:val="2"/>
          <w:sz w:val="32"/>
          <w:szCs w:val="32"/>
          <w:lang w:val="en-US" w:eastAsia="zh-CN"/>
        </w:rPr>
        <w:t>决算为</w:t>
      </w:r>
      <w:r>
        <w:rPr>
          <w:rFonts w:hint="eastAsia" w:eastAsia="方正仿宋_GBK" w:cs="Times New Roman"/>
          <w:b w:val="0"/>
          <w:bCs w:val="0"/>
          <w:kern w:val="2"/>
          <w:sz w:val="32"/>
          <w:szCs w:val="32"/>
          <w:lang w:val="en-US" w:eastAsia="zh-CN"/>
        </w:rPr>
        <w:t>469.03</w:t>
      </w:r>
      <w:r>
        <w:rPr>
          <w:rFonts w:ascii="Times New Roman" w:hAnsi="Times New Roman" w:eastAsia="方正仿宋_GBK" w:cs="仿宋_GB2312"/>
          <w:b w:val="0"/>
          <w:bCs w:val="0"/>
          <w:kern w:val="2"/>
          <w:sz w:val="32"/>
          <w:szCs w:val="32"/>
          <w:lang w:val="en-US" w:eastAsia="zh-CN"/>
        </w:rPr>
        <w:t>万元，完成预算</w:t>
      </w:r>
      <w:r>
        <w:rPr>
          <w:rFonts w:ascii="Times New Roman" w:hAnsi="Times New Roman" w:eastAsia="方正仿宋_GBK" w:cs="Times New Roman"/>
          <w:b w:val="0"/>
          <w:bCs w:val="0"/>
          <w:kern w:val="2"/>
          <w:sz w:val="32"/>
          <w:szCs w:val="32"/>
          <w:lang w:val="en-US" w:eastAsia="zh-CN"/>
        </w:rPr>
        <w:t>100%</w:t>
      </w:r>
      <w:r>
        <w:rPr>
          <w:rFonts w:ascii="Times New Roman" w:hAnsi="Times New Roman" w:eastAsia="方正仿宋_GBK" w:cs="仿宋_GB2312"/>
          <w:b w:val="0"/>
          <w:bCs w:val="0"/>
          <w:kern w:val="2"/>
          <w:sz w:val="32"/>
          <w:szCs w:val="32"/>
          <w:lang w:val="en-US" w:eastAsia="zh-CN"/>
        </w:rPr>
        <w:t>。</w:t>
      </w:r>
    </w:p>
    <w:p w14:paraId="21878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b w:val="0"/>
          <w:bCs w:val="0"/>
          <w:kern w:val="2"/>
          <w:sz w:val="32"/>
          <w:szCs w:val="32"/>
          <w:lang w:val="en-US" w:eastAsia="zh-CN"/>
        </w:rPr>
      </w:pPr>
      <w:r>
        <w:rPr>
          <w:rFonts w:hint="eastAsia" w:ascii="Times New Roman" w:hAnsi="Times New Roman" w:eastAsia="方正仿宋_GBK" w:cs="仿宋_GB2312"/>
          <w:b w:val="0"/>
          <w:bCs w:val="0"/>
          <w:kern w:val="2"/>
          <w:sz w:val="32"/>
          <w:szCs w:val="32"/>
          <w:lang w:val="en-US" w:eastAsia="zh-CN"/>
        </w:rPr>
        <w:t>7.一般公共服务支出（类）网信事务（款）一般行政管理事务（项）：决算为20万元，完成预算100%。</w:t>
      </w:r>
    </w:p>
    <w:p w14:paraId="3B996F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b w:val="0"/>
          <w:bCs w:val="0"/>
          <w:color w:val="auto"/>
          <w:kern w:val="2"/>
          <w:sz w:val="32"/>
          <w:szCs w:val="32"/>
          <w:highlight w:val="none"/>
          <w:lang w:val="en-US" w:eastAsia="zh-CN" w:bidi="ar-SA"/>
        </w:rPr>
      </w:pPr>
      <w:r>
        <w:rPr>
          <w:rFonts w:hint="eastAsia" w:eastAsia="方正仿宋_GBK" w:cs="仿宋_GB2312"/>
          <w:b w:val="0"/>
          <w:bCs w:val="0"/>
          <w:color w:val="auto"/>
          <w:kern w:val="2"/>
          <w:sz w:val="32"/>
          <w:szCs w:val="32"/>
          <w:highlight w:val="none"/>
          <w:lang w:val="en-US" w:eastAsia="zh-CN" w:bidi="ar-SA"/>
        </w:rPr>
        <w:t>8</w:t>
      </w:r>
      <w:r>
        <w:rPr>
          <w:rFonts w:hint="eastAsia" w:ascii="Times New Roman" w:hAnsi="Times New Roman" w:eastAsia="方正仿宋_GBK" w:cs="仿宋_GB2312"/>
          <w:b w:val="0"/>
          <w:bCs w:val="0"/>
          <w:color w:val="auto"/>
          <w:kern w:val="2"/>
          <w:sz w:val="32"/>
          <w:szCs w:val="32"/>
          <w:highlight w:val="none"/>
          <w:lang w:val="en-US" w:eastAsia="zh-CN" w:bidi="ar-SA"/>
        </w:rPr>
        <w:t>.文化旅游体育与传媒（类）文化和旅游（款）其他文化和旅游支出（项）：支出决算为</w:t>
      </w:r>
      <w:r>
        <w:rPr>
          <w:rFonts w:hint="eastAsia" w:eastAsia="方正仿宋_GBK" w:cs="仿宋_GB2312"/>
          <w:b w:val="0"/>
          <w:bCs w:val="0"/>
          <w:color w:val="auto"/>
          <w:kern w:val="2"/>
          <w:sz w:val="32"/>
          <w:szCs w:val="32"/>
          <w:highlight w:val="none"/>
          <w:lang w:val="en-US" w:eastAsia="zh-CN" w:bidi="ar-SA"/>
        </w:rPr>
        <w:t>3</w:t>
      </w:r>
      <w:r>
        <w:rPr>
          <w:rFonts w:hint="eastAsia" w:ascii="Times New Roman" w:hAnsi="Times New Roman" w:eastAsia="方正仿宋_GBK" w:cs="仿宋_GB2312"/>
          <w:b w:val="0"/>
          <w:bCs w:val="0"/>
          <w:color w:val="auto"/>
          <w:kern w:val="2"/>
          <w:sz w:val="32"/>
          <w:szCs w:val="32"/>
          <w:highlight w:val="none"/>
          <w:lang w:val="en-US" w:eastAsia="zh-CN" w:bidi="ar-SA"/>
        </w:rPr>
        <w:t>万元，完成预算100%。</w:t>
      </w:r>
    </w:p>
    <w:p w14:paraId="44B222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9.社会保障和就业（类）行政事业单位养老支出（款）机关事业单位基本养老保险缴费支出（项）：支出决算为</w:t>
      </w:r>
      <w:r>
        <w:rPr>
          <w:rFonts w:hint="eastAsia" w:eastAsia="方正仿宋_GBK" w:cs="仿宋_GB2312"/>
          <w:color w:val="auto"/>
          <w:kern w:val="2"/>
          <w:sz w:val="32"/>
          <w:szCs w:val="32"/>
          <w:highlight w:val="none"/>
          <w:lang w:val="en-US" w:eastAsia="zh-CN" w:bidi="ar-SA"/>
        </w:rPr>
        <w:t>108.61</w:t>
      </w:r>
      <w:r>
        <w:rPr>
          <w:rFonts w:hint="eastAsia" w:ascii="Times New Roman" w:hAnsi="Times New Roman" w:eastAsia="方正仿宋_GBK" w:cs="仿宋_GB2312"/>
          <w:color w:val="auto"/>
          <w:kern w:val="2"/>
          <w:sz w:val="32"/>
          <w:szCs w:val="32"/>
          <w:highlight w:val="none"/>
          <w:lang w:val="en-US" w:eastAsia="zh-CN" w:bidi="ar-SA"/>
        </w:rPr>
        <w:t>万元，完成预算100%。</w:t>
      </w:r>
    </w:p>
    <w:p w14:paraId="1481FD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10.卫生健康（类）行政事业单位医疗（款）行政单位医疗（项）：支出决算为</w:t>
      </w:r>
      <w:r>
        <w:rPr>
          <w:rFonts w:hint="eastAsia" w:eastAsia="方正仿宋_GBK" w:cs="仿宋_GB2312"/>
          <w:color w:val="auto"/>
          <w:kern w:val="2"/>
          <w:sz w:val="32"/>
          <w:szCs w:val="32"/>
          <w:highlight w:val="none"/>
          <w:lang w:val="en-US" w:eastAsia="zh-CN" w:bidi="ar-SA"/>
        </w:rPr>
        <w:t>20.63</w:t>
      </w:r>
      <w:r>
        <w:rPr>
          <w:rFonts w:hint="eastAsia" w:ascii="Times New Roman" w:hAnsi="Times New Roman" w:eastAsia="方正仿宋_GBK" w:cs="仿宋_GB2312"/>
          <w:color w:val="auto"/>
          <w:kern w:val="2"/>
          <w:sz w:val="32"/>
          <w:szCs w:val="32"/>
          <w:highlight w:val="none"/>
          <w:lang w:val="en-US" w:eastAsia="zh-CN" w:bidi="ar-SA"/>
        </w:rPr>
        <w:t>万元，完成预算100%。</w:t>
      </w:r>
    </w:p>
    <w:p w14:paraId="4A7F11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11.卫生健康（类）行政事业单位医疗（款）事业单位医疗（项）：支出决算为</w:t>
      </w:r>
      <w:r>
        <w:rPr>
          <w:rFonts w:hint="eastAsia" w:eastAsia="方正仿宋_GBK" w:cs="仿宋_GB2312"/>
          <w:color w:val="auto"/>
          <w:kern w:val="2"/>
          <w:sz w:val="32"/>
          <w:szCs w:val="32"/>
          <w:highlight w:val="none"/>
          <w:lang w:val="en-US" w:eastAsia="zh-CN" w:bidi="ar-SA"/>
        </w:rPr>
        <w:t>23.62</w:t>
      </w:r>
      <w:r>
        <w:rPr>
          <w:rFonts w:hint="eastAsia" w:ascii="Times New Roman" w:hAnsi="Times New Roman" w:eastAsia="方正仿宋_GBK" w:cs="仿宋_GB2312"/>
          <w:color w:val="auto"/>
          <w:kern w:val="2"/>
          <w:sz w:val="32"/>
          <w:szCs w:val="32"/>
          <w:highlight w:val="none"/>
          <w:lang w:val="en-US" w:eastAsia="zh-CN" w:bidi="ar-SA"/>
        </w:rPr>
        <w:t>万元，完成预算100%。</w:t>
      </w:r>
    </w:p>
    <w:p w14:paraId="18580D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kern w:val="2"/>
          <w:sz w:val="32"/>
          <w:szCs w:val="32"/>
          <w:lang w:val="en-US" w:eastAsia="zh-CN"/>
        </w:rPr>
      </w:pPr>
      <w:r>
        <w:rPr>
          <w:rFonts w:hint="eastAsia" w:ascii="Times New Roman" w:hAnsi="Times New Roman" w:eastAsia="方正仿宋_GBK" w:cs="仿宋_GB2312"/>
          <w:kern w:val="2"/>
          <w:sz w:val="32"/>
          <w:szCs w:val="32"/>
          <w:lang w:val="en-US" w:eastAsia="zh-CN"/>
        </w:rPr>
        <w:t>12.</w:t>
      </w:r>
      <w:r>
        <w:rPr>
          <w:rFonts w:ascii="Times New Roman" w:hAnsi="Times New Roman" w:eastAsia="方正仿宋_GBK" w:cs="仿宋_GB2312"/>
          <w:kern w:val="2"/>
          <w:sz w:val="32"/>
          <w:szCs w:val="32"/>
          <w:lang w:val="en-US" w:eastAsia="zh-CN"/>
        </w:rPr>
        <w:t>卫生健康（类）行政事业单位医疗（款）</w:t>
      </w:r>
      <w:r>
        <w:rPr>
          <w:rFonts w:hint="eastAsia" w:ascii="Times New Roman" w:hAnsi="Times New Roman" w:eastAsia="方正仿宋_GBK" w:cs="仿宋_GB2312"/>
          <w:kern w:val="2"/>
          <w:sz w:val="32"/>
          <w:szCs w:val="32"/>
          <w:lang w:val="en-US" w:eastAsia="zh-CN"/>
        </w:rPr>
        <w:t>公务员医疗补助</w:t>
      </w:r>
      <w:r>
        <w:rPr>
          <w:rFonts w:ascii="Times New Roman" w:hAnsi="Times New Roman" w:eastAsia="方正仿宋_GBK" w:cs="仿宋_GB2312"/>
          <w:kern w:val="2"/>
          <w:sz w:val="32"/>
          <w:szCs w:val="32"/>
          <w:lang w:val="en-US" w:eastAsia="zh-CN"/>
        </w:rPr>
        <w:t>（项）：支出决算为</w:t>
      </w:r>
      <w:r>
        <w:rPr>
          <w:rFonts w:hint="eastAsia" w:eastAsia="方正仿宋_GBK" w:cs="Times New Roman"/>
          <w:kern w:val="2"/>
          <w:sz w:val="32"/>
          <w:szCs w:val="32"/>
          <w:lang w:val="en-US" w:eastAsia="zh-CN"/>
        </w:rPr>
        <w:t>4.26</w:t>
      </w:r>
      <w:r>
        <w:rPr>
          <w:rFonts w:ascii="Times New Roman" w:hAnsi="Times New Roman" w:eastAsia="方正仿宋_GBK" w:cs="仿宋_GB2312"/>
          <w:kern w:val="2"/>
          <w:sz w:val="32"/>
          <w:szCs w:val="32"/>
          <w:lang w:val="en-US" w:eastAsia="zh-CN"/>
        </w:rPr>
        <w:t>万元，完成预算</w:t>
      </w:r>
      <w:r>
        <w:rPr>
          <w:rFonts w:ascii="Times New Roman" w:hAnsi="Times New Roman" w:eastAsia="方正仿宋_GBK" w:cs="Times New Roman"/>
          <w:kern w:val="2"/>
          <w:sz w:val="32"/>
          <w:szCs w:val="32"/>
          <w:lang w:val="en-US" w:eastAsia="zh-CN"/>
        </w:rPr>
        <w:t>100%</w:t>
      </w:r>
      <w:r>
        <w:rPr>
          <w:rFonts w:ascii="Times New Roman" w:hAnsi="Times New Roman" w:eastAsia="方正仿宋_GBK" w:cs="仿宋_GB2312"/>
          <w:kern w:val="2"/>
          <w:sz w:val="32"/>
          <w:szCs w:val="32"/>
          <w:lang w:val="en-US" w:eastAsia="zh-CN"/>
        </w:rPr>
        <w:t>。</w:t>
      </w:r>
    </w:p>
    <w:p w14:paraId="6589D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kern w:val="2"/>
          <w:sz w:val="32"/>
          <w:szCs w:val="32"/>
          <w:lang w:val="en-US" w:eastAsia="zh-CN"/>
        </w:rPr>
      </w:pPr>
      <w:r>
        <w:rPr>
          <w:rFonts w:hint="eastAsia" w:ascii="Times New Roman" w:hAnsi="Times New Roman" w:eastAsia="方正仿宋_GBK" w:cs="仿宋_GB2312"/>
          <w:kern w:val="2"/>
          <w:sz w:val="32"/>
          <w:szCs w:val="32"/>
          <w:lang w:val="en-US" w:eastAsia="zh-CN"/>
        </w:rPr>
        <w:t>13.</w:t>
      </w:r>
      <w:r>
        <w:rPr>
          <w:rFonts w:ascii="Times New Roman" w:hAnsi="Times New Roman" w:eastAsia="方正仿宋_GBK" w:cs="仿宋_GB2312"/>
          <w:kern w:val="2"/>
          <w:sz w:val="32"/>
          <w:szCs w:val="32"/>
          <w:lang w:val="en-US" w:eastAsia="zh-CN"/>
        </w:rPr>
        <w:t>卫生健康（类）行政事业单位医疗（款）</w:t>
      </w:r>
      <w:r>
        <w:rPr>
          <w:rFonts w:hint="eastAsia" w:ascii="Times New Roman" w:hAnsi="Times New Roman" w:eastAsia="方正仿宋_GBK" w:cs="仿宋_GB2312"/>
          <w:kern w:val="2"/>
          <w:sz w:val="32"/>
          <w:szCs w:val="32"/>
          <w:lang w:val="en-US" w:eastAsia="zh-CN"/>
        </w:rPr>
        <w:t>其他</w:t>
      </w:r>
      <w:r>
        <w:rPr>
          <w:rFonts w:ascii="Times New Roman" w:hAnsi="Times New Roman" w:eastAsia="方正仿宋_GBK" w:cs="仿宋_GB2312"/>
          <w:kern w:val="2"/>
          <w:sz w:val="32"/>
          <w:szCs w:val="32"/>
          <w:lang w:val="en-US" w:eastAsia="zh-CN"/>
        </w:rPr>
        <w:t>行政</w:t>
      </w:r>
      <w:r>
        <w:rPr>
          <w:rFonts w:hint="eastAsia" w:ascii="Times New Roman" w:hAnsi="Times New Roman" w:eastAsia="方正仿宋_GBK" w:cs="仿宋_GB2312"/>
          <w:kern w:val="2"/>
          <w:sz w:val="32"/>
          <w:szCs w:val="32"/>
          <w:lang w:val="en-US" w:eastAsia="zh-CN"/>
        </w:rPr>
        <w:t>事业</w:t>
      </w:r>
      <w:r>
        <w:rPr>
          <w:rFonts w:ascii="Times New Roman" w:hAnsi="Times New Roman" w:eastAsia="方正仿宋_GBK" w:cs="仿宋_GB2312"/>
          <w:kern w:val="2"/>
          <w:sz w:val="32"/>
          <w:szCs w:val="32"/>
          <w:lang w:val="en-US" w:eastAsia="zh-CN"/>
        </w:rPr>
        <w:t>单位医疗</w:t>
      </w:r>
      <w:r>
        <w:rPr>
          <w:rFonts w:hint="eastAsia" w:ascii="Times New Roman" w:hAnsi="Times New Roman" w:eastAsia="方正仿宋_GBK" w:cs="仿宋_GB2312"/>
          <w:kern w:val="2"/>
          <w:sz w:val="32"/>
          <w:szCs w:val="32"/>
          <w:lang w:val="en-US" w:eastAsia="zh-CN"/>
        </w:rPr>
        <w:t>支出</w:t>
      </w:r>
      <w:r>
        <w:rPr>
          <w:rFonts w:ascii="Times New Roman" w:hAnsi="Times New Roman" w:eastAsia="方正仿宋_GBK" w:cs="仿宋_GB2312"/>
          <w:kern w:val="2"/>
          <w:sz w:val="32"/>
          <w:szCs w:val="32"/>
          <w:lang w:val="en-US" w:eastAsia="zh-CN"/>
        </w:rPr>
        <w:t>（项）：支出决算为</w:t>
      </w:r>
      <w:r>
        <w:rPr>
          <w:rFonts w:hint="eastAsia" w:eastAsia="方正仿宋_GBK" w:cs="Times New Roman"/>
          <w:kern w:val="2"/>
          <w:sz w:val="32"/>
          <w:szCs w:val="32"/>
          <w:lang w:val="en-US" w:eastAsia="zh-CN"/>
        </w:rPr>
        <w:t>2.55</w:t>
      </w:r>
      <w:r>
        <w:rPr>
          <w:rFonts w:ascii="Times New Roman" w:hAnsi="Times New Roman" w:eastAsia="方正仿宋_GBK" w:cs="仿宋_GB2312"/>
          <w:kern w:val="2"/>
          <w:sz w:val="32"/>
          <w:szCs w:val="32"/>
          <w:lang w:val="en-US" w:eastAsia="zh-CN"/>
        </w:rPr>
        <w:t>万元，完成预算</w:t>
      </w:r>
      <w:r>
        <w:rPr>
          <w:rFonts w:ascii="Times New Roman" w:hAnsi="Times New Roman" w:eastAsia="方正仿宋_GBK" w:cs="Times New Roman"/>
          <w:kern w:val="2"/>
          <w:sz w:val="32"/>
          <w:szCs w:val="32"/>
          <w:lang w:val="en-US" w:eastAsia="zh-CN"/>
        </w:rPr>
        <w:t>100%</w:t>
      </w:r>
      <w:r>
        <w:rPr>
          <w:rFonts w:ascii="Times New Roman" w:hAnsi="Times New Roman" w:eastAsia="方正仿宋_GBK" w:cs="仿宋_GB2312"/>
          <w:kern w:val="2"/>
          <w:sz w:val="32"/>
          <w:szCs w:val="32"/>
          <w:lang w:val="en-US" w:eastAsia="zh-CN"/>
        </w:rPr>
        <w:t>。</w:t>
      </w:r>
    </w:p>
    <w:p w14:paraId="72519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kern w:val="2"/>
          <w:sz w:val="32"/>
          <w:szCs w:val="32"/>
          <w:lang w:val="en-US" w:eastAsia="zh-CN"/>
        </w:rPr>
      </w:pPr>
      <w:r>
        <w:rPr>
          <w:rFonts w:hint="eastAsia" w:ascii="Times New Roman" w:hAnsi="Times New Roman" w:eastAsia="方正仿宋_GBK" w:cs="仿宋_GB2312"/>
          <w:kern w:val="2"/>
          <w:sz w:val="32"/>
          <w:szCs w:val="32"/>
          <w:lang w:val="en-US" w:eastAsia="zh-CN"/>
        </w:rPr>
        <w:t>14.</w:t>
      </w:r>
      <w:r>
        <w:rPr>
          <w:rFonts w:hint="eastAsia" w:eastAsia="方正仿宋_GBK" w:cs="仿宋_GB2312"/>
          <w:kern w:val="2"/>
          <w:sz w:val="32"/>
          <w:szCs w:val="32"/>
          <w:lang w:val="en-US" w:eastAsia="zh-CN"/>
        </w:rPr>
        <w:t>教育支出</w:t>
      </w:r>
      <w:r>
        <w:rPr>
          <w:rFonts w:ascii="Times New Roman" w:hAnsi="Times New Roman" w:eastAsia="方正仿宋_GBK" w:cs="仿宋_GB2312"/>
          <w:kern w:val="2"/>
          <w:sz w:val="32"/>
          <w:szCs w:val="32"/>
          <w:lang w:val="en-US" w:eastAsia="zh-CN"/>
        </w:rPr>
        <w:t>（类）</w:t>
      </w:r>
      <w:r>
        <w:rPr>
          <w:rFonts w:hint="eastAsia" w:eastAsia="方正仿宋_GBK" w:cs="仿宋_GB2312"/>
          <w:kern w:val="2"/>
          <w:sz w:val="32"/>
          <w:szCs w:val="32"/>
          <w:lang w:val="en-US" w:eastAsia="zh-CN"/>
        </w:rPr>
        <w:t>进修及培训</w:t>
      </w:r>
      <w:r>
        <w:rPr>
          <w:rFonts w:ascii="Times New Roman" w:hAnsi="Times New Roman" w:eastAsia="方正仿宋_GBK" w:cs="仿宋_GB2312"/>
          <w:kern w:val="2"/>
          <w:sz w:val="32"/>
          <w:szCs w:val="32"/>
          <w:lang w:val="en-US" w:eastAsia="zh-CN"/>
        </w:rPr>
        <w:t>（款）</w:t>
      </w:r>
      <w:r>
        <w:rPr>
          <w:rFonts w:hint="eastAsia" w:eastAsia="方正仿宋_GBK" w:cs="仿宋_GB2312"/>
          <w:kern w:val="2"/>
          <w:sz w:val="32"/>
          <w:szCs w:val="32"/>
          <w:lang w:val="en-US" w:eastAsia="zh-CN"/>
        </w:rPr>
        <w:t>干部教育</w:t>
      </w:r>
      <w:r>
        <w:rPr>
          <w:rFonts w:ascii="Times New Roman" w:hAnsi="Times New Roman" w:eastAsia="方正仿宋_GBK" w:cs="仿宋_GB2312"/>
          <w:kern w:val="2"/>
          <w:sz w:val="32"/>
          <w:szCs w:val="32"/>
          <w:lang w:val="en-US" w:eastAsia="zh-CN"/>
        </w:rPr>
        <w:t>（项）：支出决算为</w:t>
      </w:r>
      <w:r>
        <w:rPr>
          <w:rFonts w:hint="eastAsia" w:eastAsia="方正仿宋_GBK" w:cs="Times New Roman"/>
          <w:kern w:val="2"/>
          <w:sz w:val="32"/>
          <w:szCs w:val="32"/>
          <w:lang w:val="en-US" w:eastAsia="zh-CN"/>
        </w:rPr>
        <w:t>8.72</w:t>
      </w:r>
      <w:r>
        <w:rPr>
          <w:rFonts w:ascii="Times New Roman" w:hAnsi="Times New Roman" w:eastAsia="方正仿宋_GBK" w:cs="仿宋_GB2312"/>
          <w:kern w:val="2"/>
          <w:sz w:val="32"/>
          <w:szCs w:val="32"/>
          <w:lang w:val="en-US" w:eastAsia="zh-CN"/>
        </w:rPr>
        <w:t>万元，完成预算</w:t>
      </w:r>
      <w:r>
        <w:rPr>
          <w:rFonts w:ascii="Times New Roman" w:hAnsi="Times New Roman" w:eastAsia="方正仿宋_GBK" w:cs="Times New Roman"/>
          <w:kern w:val="2"/>
          <w:sz w:val="32"/>
          <w:szCs w:val="32"/>
          <w:lang w:val="en-US" w:eastAsia="zh-CN"/>
        </w:rPr>
        <w:t>100%</w:t>
      </w:r>
      <w:r>
        <w:rPr>
          <w:rFonts w:ascii="Times New Roman" w:hAnsi="Times New Roman" w:eastAsia="方正仿宋_GBK" w:cs="仿宋_GB2312"/>
          <w:kern w:val="2"/>
          <w:sz w:val="32"/>
          <w:szCs w:val="32"/>
          <w:lang w:val="en-US" w:eastAsia="zh-CN"/>
        </w:rPr>
        <w:t>。</w:t>
      </w:r>
    </w:p>
    <w:p w14:paraId="64FC4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ascii="Times New Roman" w:hAnsi="Times New Roman" w:eastAsia="方正仿宋_GBK" w:cs="仿宋_GB2312"/>
          <w:kern w:val="2"/>
          <w:sz w:val="32"/>
          <w:szCs w:val="32"/>
        </w:rPr>
      </w:pPr>
      <w:r>
        <w:rPr>
          <w:rFonts w:hint="eastAsia" w:ascii="Times New Roman" w:hAnsi="Times New Roman" w:eastAsia="方正仿宋_GBK" w:cs="仿宋_GB2312"/>
          <w:kern w:val="2"/>
          <w:sz w:val="32"/>
          <w:szCs w:val="32"/>
          <w:lang w:val="en-US" w:eastAsia="zh-CN"/>
        </w:rPr>
        <w:t>15.住房保障</w:t>
      </w:r>
      <w:r>
        <w:rPr>
          <w:rFonts w:ascii="Times New Roman" w:hAnsi="Times New Roman" w:eastAsia="方正仿宋_GBK" w:cs="仿宋_GB2312"/>
          <w:kern w:val="2"/>
          <w:sz w:val="32"/>
          <w:szCs w:val="32"/>
          <w:lang w:val="en-US" w:eastAsia="zh-CN"/>
        </w:rPr>
        <w:t>（类）</w:t>
      </w:r>
      <w:r>
        <w:rPr>
          <w:rFonts w:hint="eastAsia" w:ascii="Times New Roman" w:hAnsi="Times New Roman" w:eastAsia="方正仿宋_GBK" w:cs="仿宋_GB2312"/>
          <w:kern w:val="2"/>
          <w:sz w:val="32"/>
          <w:szCs w:val="32"/>
          <w:lang w:val="en-US" w:eastAsia="zh-CN"/>
        </w:rPr>
        <w:t>住房改革支出</w:t>
      </w:r>
      <w:r>
        <w:rPr>
          <w:rFonts w:ascii="Times New Roman" w:hAnsi="Times New Roman" w:eastAsia="方正仿宋_GBK" w:cs="仿宋_GB2312"/>
          <w:kern w:val="2"/>
          <w:sz w:val="32"/>
          <w:szCs w:val="32"/>
          <w:lang w:val="en-US" w:eastAsia="zh-CN"/>
        </w:rPr>
        <w:t>（款）</w:t>
      </w:r>
      <w:r>
        <w:rPr>
          <w:rFonts w:hint="eastAsia" w:ascii="Times New Roman" w:hAnsi="Times New Roman" w:eastAsia="方正仿宋_GBK" w:cs="仿宋_GB2312"/>
          <w:kern w:val="2"/>
          <w:sz w:val="32"/>
          <w:szCs w:val="32"/>
          <w:lang w:val="en-US" w:eastAsia="zh-CN"/>
        </w:rPr>
        <w:t>住房公积金</w:t>
      </w:r>
      <w:r>
        <w:rPr>
          <w:rFonts w:ascii="Times New Roman" w:hAnsi="Times New Roman" w:eastAsia="方正仿宋_GBK" w:cs="仿宋_GB2312"/>
          <w:kern w:val="2"/>
          <w:sz w:val="32"/>
          <w:szCs w:val="32"/>
          <w:lang w:val="en-US" w:eastAsia="zh-CN"/>
        </w:rPr>
        <w:t>（项）：支出决算为</w:t>
      </w:r>
      <w:r>
        <w:rPr>
          <w:rFonts w:hint="eastAsia" w:eastAsia="方正仿宋_GBK" w:cs="Times New Roman"/>
          <w:kern w:val="2"/>
          <w:sz w:val="32"/>
          <w:szCs w:val="32"/>
          <w:lang w:val="en-US" w:eastAsia="zh-CN"/>
        </w:rPr>
        <w:t>81.49</w:t>
      </w:r>
      <w:r>
        <w:rPr>
          <w:rFonts w:ascii="Times New Roman" w:hAnsi="Times New Roman" w:eastAsia="方正仿宋_GBK" w:cs="仿宋_GB2312"/>
          <w:kern w:val="2"/>
          <w:sz w:val="32"/>
          <w:szCs w:val="32"/>
          <w:lang w:val="en-US" w:eastAsia="zh-CN"/>
        </w:rPr>
        <w:t>万元，完成预算</w:t>
      </w:r>
      <w:r>
        <w:rPr>
          <w:rFonts w:ascii="Times New Roman" w:hAnsi="Times New Roman" w:eastAsia="方正仿宋_GBK" w:cs="Times New Roman"/>
          <w:kern w:val="2"/>
          <w:sz w:val="32"/>
          <w:szCs w:val="32"/>
          <w:lang w:val="en-US" w:eastAsia="zh-CN"/>
        </w:rPr>
        <w:t>100%</w:t>
      </w:r>
      <w:r>
        <w:rPr>
          <w:rFonts w:ascii="Times New Roman" w:hAnsi="Times New Roman" w:eastAsia="方正仿宋_GBK" w:cs="仿宋_GB2312"/>
          <w:kern w:val="2"/>
          <w:sz w:val="32"/>
          <w:szCs w:val="32"/>
          <w:lang w:val="en-US" w:eastAsia="zh-CN"/>
        </w:rPr>
        <w:t>。</w:t>
      </w:r>
    </w:p>
    <w:p w14:paraId="70BA8B08">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35" w:name="_Toc24073"/>
      <w:bookmarkStart w:id="36" w:name="_Toc15377214"/>
      <w:bookmarkStart w:id="37" w:name="_Toc15396608"/>
      <w:r>
        <w:rPr>
          <w:rFonts w:hint="eastAsia" w:ascii="Times New Roman" w:hAnsi="Times New Roman" w:eastAsia="方正黑体_GBK" w:cs="方正黑体_GBK"/>
          <w:color w:val="auto"/>
          <w:sz w:val="32"/>
          <w:szCs w:val="32"/>
          <w:highlight w:val="none"/>
          <w:lang w:eastAsia="zh-CN"/>
        </w:rPr>
        <w:t>六、一般公共预算财政拨款基本支出决算情况说明</w:t>
      </w:r>
      <w:bookmarkEnd w:id="35"/>
      <w:bookmarkEnd w:id="36"/>
      <w:bookmarkEnd w:id="37"/>
      <w:r>
        <w:rPr>
          <w:rFonts w:hint="eastAsia" w:ascii="Times New Roman" w:hAnsi="Times New Roman" w:eastAsia="方正黑体_GBK" w:cs="方正黑体_GBK"/>
          <w:color w:val="auto"/>
          <w:sz w:val="32"/>
          <w:szCs w:val="32"/>
          <w:highlight w:val="none"/>
          <w:lang w:eastAsia="zh-CN"/>
        </w:rPr>
        <w:tab/>
      </w:r>
    </w:p>
    <w:p w14:paraId="5044F8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年度一般公共预算财政拨款基本支出</w:t>
      </w:r>
      <w:r>
        <w:rPr>
          <w:rFonts w:hint="eastAsia" w:eastAsia="方正仿宋_GBK" w:cs="仿宋_GB2312"/>
          <w:sz w:val="32"/>
          <w:szCs w:val="32"/>
          <w:lang w:val="en-US" w:eastAsia="zh-CN"/>
        </w:rPr>
        <w:t>1273.84</w:t>
      </w:r>
      <w:r>
        <w:rPr>
          <w:rFonts w:hint="eastAsia" w:ascii="Times New Roman" w:hAnsi="Times New Roman" w:eastAsia="方正仿宋_GBK" w:cs="仿宋_GB2312"/>
          <w:color w:val="auto"/>
          <w:kern w:val="2"/>
          <w:sz w:val="32"/>
          <w:szCs w:val="32"/>
          <w:highlight w:val="none"/>
          <w:lang w:val="en-US" w:eastAsia="zh-CN" w:bidi="ar-SA"/>
        </w:rPr>
        <w:t>万元，其中：</w:t>
      </w:r>
    </w:p>
    <w:p w14:paraId="2235C2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人员经费</w:t>
      </w:r>
      <w:r>
        <w:rPr>
          <w:rFonts w:hint="eastAsia" w:eastAsia="方正仿宋_GBK" w:cs="仿宋_GB2312"/>
          <w:sz w:val="32"/>
          <w:szCs w:val="32"/>
          <w:lang w:val="en-US" w:eastAsia="zh-CN"/>
        </w:rPr>
        <w:t>1090.15</w:t>
      </w:r>
      <w:r>
        <w:rPr>
          <w:rFonts w:hint="eastAsia" w:ascii="Times New Roman" w:hAnsi="Times New Roman" w:eastAsia="方正仿宋_GBK" w:cs="仿宋_GB2312"/>
          <w:sz w:val="32"/>
          <w:szCs w:val="32"/>
          <w:lang w:val="en-US" w:eastAsia="zh-CN"/>
        </w:rPr>
        <w:t>万</w:t>
      </w:r>
      <w:r>
        <w:rPr>
          <w:rFonts w:hint="eastAsia" w:ascii="Times New Roman" w:hAnsi="Times New Roman" w:eastAsia="方正仿宋_GBK"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E0904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公用经费183.7万元，主要包括：办公费、印刷费、水费、电费、邮电费、物业管理费、差旅费、会议费、培训费、公务接待费、劳务费、委托业务费、工会经费、福利费、公务用车运行维护费、其他交通费、其他商品和服务支出等。</w:t>
      </w:r>
    </w:p>
    <w:p w14:paraId="16A80BA4">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38" w:name="_Toc15396609"/>
      <w:bookmarkStart w:id="39" w:name="_Toc15377215"/>
      <w:bookmarkStart w:id="40" w:name="_Toc2054"/>
      <w:r>
        <w:rPr>
          <w:rFonts w:hint="eastAsia" w:ascii="Times New Roman" w:hAnsi="Times New Roman" w:eastAsia="方正黑体_GBK" w:cs="方正黑体_GBK"/>
          <w:color w:val="auto"/>
          <w:sz w:val="32"/>
          <w:szCs w:val="32"/>
          <w:highlight w:val="none"/>
          <w:lang w:eastAsia="zh-CN"/>
        </w:rPr>
        <w:t>七、财政拨款“三公”经费支出决算情况说明</w:t>
      </w:r>
      <w:bookmarkEnd w:id="38"/>
      <w:bookmarkEnd w:id="39"/>
      <w:bookmarkEnd w:id="40"/>
    </w:p>
    <w:p w14:paraId="4C6FF5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41" w:name="_Toc15377216"/>
      <w:r>
        <w:rPr>
          <w:rFonts w:hint="eastAsia" w:ascii="Times New Roman" w:hAnsi="Times New Roman" w:eastAsia="方正楷体_GBK" w:cs="方正楷体_GBK"/>
          <w:b w:val="0"/>
          <w:bCs/>
          <w:color w:val="auto"/>
          <w:sz w:val="32"/>
          <w:szCs w:val="32"/>
          <w:highlight w:val="none"/>
        </w:rPr>
        <w:t>（一）“三公”经费财政拨款支出决算总体情况说明</w:t>
      </w:r>
      <w:bookmarkEnd w:id="41"/>
    </w:p>
    <w:p w14:paraId="12ACA1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年度“三公”经费财政拨款支出决算为</w:t>
      </w:r>
      <w:r>
        <w:rPr>
          <w:rFonts w:hint="eastAsia" w:eastAsia="方正仿宋_GBK" w:cs="仿宋_GB2312"/>
          <w:sz w:val="32"/>
          <w:szCs w:val="32"/>
          <w:lang w:val="en-US" w:eastAsia="zh-CN"/>
        </w:rPr>
        <w:t>28.76</w:t>
      </w:r>
      <w:r>
        <w:rPr>
          <w:rFonts w:hint="eastAsia" w:ascii="Times New Roman" w:hAnsi="Times New Roman" w:eastAsia="方正仿宋_GBK" w:cs="仿宋_GB2312"/>
          <w:color w:val="auto"/>
          <w:kern w:val="2"/>
          <w:sz w:val="32"/>
          <w:szCs w:val="32"/>
          <w:highlight w:val="none"/>
          <w:lang w:val="en-US" w:eastAsia="zh-CN" w:bidi="ar-SA"/>
        </w:rPr>
        <w:t>万元，完成预算</w:t>
      </w:r>
      <w:r>
        <w:rPr>
          <w:rFonts w:hint="eastAsia" w:ascii="Times New Roman" w:hAnsi="Times New Roman" w:eastAsia="方正仿宋_GBK" w:cs="仿宋_GB2312"/>
          <w:sz w:val="32"/>
          <w:szCs w:val="32"/>
          <w:lang w:val="en-US" w:eastAsia="zh-CN"/>
        </w:rPr>
        <w:t>100</w:t>
      </w:r>
      <w:r>
        <w:rPr>
          <w:rFonts w:hint="eastAsia" w:ascii="Times New Roman" w:hAnsi="Times New Roman" w:eastAsia="方正仿宋_GBK" w:cs="仿宋_GB2312"/>
          <w:color w:val="auto"/>
          <w:kern w:val="2"/>
          <w:sz w:val="32"/>
          <w:szCs w:val="32"/>
          <w:highlight w:val="none"/>
          <w:lang w:val="en-US" w:eastAsia="zh-CN" w:bidi="ar-SA"/>
        </w:rPr>
        <w:t>%，较上年度减少</w:t>
      </w:r>
      <w:r>
        <w:rPr>
          <w:rFonts w:hint="eastAsia" w:eastAsia="方正仿宋_GBK" w:cs="仿宋_GB2312"/>
          <w:color w:val="auto"/>
          <w:kern w:val="2"/>
          <w:sz w:val="32"/>
          <w:szCs w:val="32"/>
          <w:highlight w:val="none"/>
          <w:lang w:val="en-US" w:eastAsia="zh-CN" w:bidi="ar-SA"/>
        </w:rPr>
        <w:t>0.7</w:t>
      </w:r>
      <w:r>
        <w:rPr>
          <w:rFonts w:hint="eastAsia" w:ascii="Times New Roman" w:hAnsi="Times New Roman" w:eastAsia="方正仿宋_GBK" w:cs="仿宋_GB2312"/>
          <w:color w:val="auto"/>
          <w:kern w:val="2"/>
          <w:sz w:val="32"/>
          <w:szCs w:val="32"/>
          <w:highlight w:val="none"/>
          <w:lang w:val="en-US" w:eastAsia="zh-CN" w:bidi="ar-SA"/>
        </w:rPr>
        <w:t>万元，下降</w:t>
      </w:r>
      <w:r>
        <w:rPr>
          <w:rFonts w:hint="eastAsia" w:eastAsia="方正仿宋_GBK" w:cs="仿宋_GB2312"/>
          <w:color w:val="auto"/>
          <w:kern w:val="2"/>
          <w:sz w:val="32"/>
          <w:szCs w:val="32"/>
          <w:highlight w:val="none"/>
          <w:lang w:val="en-US" w:eastAsia="zh-CN" w:bidi="ar-SA"/>
        </w:rPr>
        <w:t>2.4</w:t>
      </w:r>
      <w:r>
        <w:rPr>
          <w:rFonts w:hint="eastAsia" w:ascii="Times New Roman" w:hAnsi="Times New Roman" w:eastAsia="方正仿宋_GBK" w:cs="仿宋_GB2312"/>
          <w:color w:val="auto"/>
          <w:kern w:val="2"/>
          <w:sz w:val="32"/>
          <w:szCs w:val="32"/>
          <w:highlight w:val="none"/>
          <w:lang w:val="en-US" w:eastAsia="zh-CN" w:bidi="ar-SA"/>
        </w:rPr>
        <w:t>%。决算数与预算数持平的主要原因是坚持厉行节约，严格按预算进行三公经费开支。</w:t>
      </w:r>
    </w:p>
    <w:p w14:paraId="2332C7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bookmarkStart w:id="42" w:name="_Toc15377217"/>
    </w:p>
    <w:p w14:paraId="29B8F8D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p>
    <w:p w14:paraId="56411F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eastAsia" w:ascii="Times New Roman" w:hAnsi="Times New Roman" w:eastAsia="方正楷体_GBK" w:cs="方正楷体_GBK"/>
          <w:b w:val="0"/>
          <w:bCs/>
          <w:color w:val="auto"/>
          <w:sz w:val="32"/>
          <w:szCs w:val="32"/>
          <w:highlight w:val="none"/>
        </w:rPr>
      </w:pPr>
      <w:r>
        <w:rPr>
          <w:rFonts w:hint="eastAsia" w:ascii="Times New Roman" w:hAnsi="Times New Roman" w:eastAsia="方正楷体_GBK" w:cs="方正楷体_GBK"/>
          <w:b w:val="0"/>
          <w:bCs/>
          <w:color w:val="auto"/>
          <w:sz w:val="32"/>
          <w:szCs w:val="32"/>
          <w:highlight w:val="none"/>
        </w:rPr>
        <w:t>（二）“三公”经费财政拨款支出决算具体情况说明</w:t>
      </w:r>
      <w:bookmarkEnd w:id="42"/>
    </w:p>
    <w:p w14:paraId="5D1A52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年度“三公”经费财政拨款支出决算中，因公出国（境）费支出决算</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万元，占0%；公务用车购置及运行维护费支出决算</w:t>
      </w:r>
      <w:r>
        <w:rPr>
          <w:rFonts w:hint="eastAsia" w:eastAsia="方正仿宋_GBK" w:cs="仿宋_GB2312"/>
          <w:sz w:val="32"/>
          <w:szCs w:val="32"/>
          <w:lang w:val="en-US" w:eastAsia="zh-CN"/>
        </w:rPr>
        <w:t>22.53</w:t>
      </w:r>
      <w:r>
        <w:rPr>
          <w:rFonts w:hint="eastAsia" w:ascii="Times New Roman" w:hAnsi="Times New Roman" w:eastAsia="方正仿宋_GBK" w:cs="仿宋_GB2312"/>
          <w:color w:val="auto"/>
          <w:kern w:val="2"/>
          <w:sz w:val="32"/>
          <w:szCs w:val="32"/>
          <w:highlight w:val="none"/>
          <w:lang w:val="en-US" w:eastAsia="zh-CN" w:bidi="ar-SA"/>
        </w:rPr>
        <w:t>万元，占</w:t>
      </w:r>
      <w:r>
        <w:rPr>
          <w:rFonts w:hint="eastAsia" w:eastAsia="方正仿宋_GBK" w:cs="仿宋_GB2312"/>
          <w:color w:val="auto"/>
          <w:kern w:val="2"/>
          <w:sz w:val="32"/>
          <w:szCs w:val="32"/>
          <w:highlight w:val="none"/>
          <w:lang w:val="en-US" w:eastAsia="zh-CN" w:bidi="ar-SA"/>
        </w:rPr>
        <w:t>78.34</w:t>
      </w:r>
      <w:r>
        <w:rPr>
          <w:rFonts w:hint="eastAsia" w:ascii="Times New Roman" w:hAnsi="Times New Roman" w:eastAsia="方正仿宋_GBK" w:cs="仿宋_GB2312"/>
          <w:color w:val="auto"/>
          <w:kern w:val="2"/>
          <w:sz w:val="32"/>
          <w:szCs w:val="32"/>
          <w:highlight w:val="none"/>
          <w:lang w:val="en-US" w:eastAsia="zh-CN" w:bidi="ar-SA"/>
        </w:rPr>
        <w:t>%；公务接待费支出决算</w:t>
      </w:r>
      <w:r>
        <w:rPr>
          <w:rFonts w:hint="eastAsia" w:eastAsia="方正仿宋_GBK" w:cs="仿宋_GB2312"/>
          <w:color w:val="auto"/>
          <w:kern w:val="2"/>
          <w:sz w:val="32"/>
          <w:szCs w:val="32"/>
          <w:highlight w:val="none"/>
          <w:lang w:val="en-US" w:eastAsia="zh-CN" w:bidi="ar-SA"/>
        </w:rPr>
        <w:t>6.23</w:t>
      </w:r>
      <w:r>
        <w:rPr>
          <w:rFonts w:hint="eastAsia" w:ascii="Times New Roman" w:hAnsi="Times New Roman" w:eastAsia="方正仿宋_GBK" w:cs="仿宋_GB2312"/>
          <w:color w:val="auto"/>
          <w:kern w:val="2"/>
          <w:sz w:val="32"/>
          <w:szCs w:val="32"/>
          <w:highlight w:val="none"/>
          <w:lang w:val="en-US" w:eastAsia="zh-CN" w:bidi="ar-SA"/>
        </w:rPr>
        <w:t>万元，占21.</w:t>
      </w:r>
      <w:r>
        <w:rPr>
          <w:rFonts w:hint="eastAsia" w:eastAsia="方正仿宋_GBK" w:cs="仿宋_GB2312"/>
          <w:color w:val="auto"/>
          <w:kern w:val="2"/>
          <w:sz w:val="32"/>
          <w:szCs w:val="32"/>
          <w:highlight w:val="none"/>
          <w:lang w:val="en-US" w:eastAsia="zh-CN" w:bidi="ar-SA"/>
        </w:rPr>
        <w:t>66</w:t>
      </w:r>
      <w:r>
        <w:rPr>
          <w:rFonts w:hint="eastAsia" w:ascii="Times New Roman" w:hAnsi="Times New Roman" w:eastAsia="方正仿宋_GBK" w:cs="仿宋_GB2312"/>
          <w:color w:val="auto"/>
          <w:kern w:val="2"/>
          <w:sz w:val="32"/>
          <w:szCs w:val="32"/>
          <w:highlight w:val="none"/>
          <w:lang w:val="en-US" w:eastAsia="zh-CN" w:bidi="ar-SA"/>
        </w:rPr>
        <w:t>%。具体情况如下：</w:t>
      </w:r>
    </w:p>
    <w:p w14:paraId="216EE3CF">
      <w:pPr>
        <w:rPr>
          <w:rFonts w:hint="eastAsia" w:ascii="Times New Roman" w:hAnsi="Times New Roman" w:eastAsia="方正仿宋_GBK" w:cs="仿宋_GB2312"/>
          <w:color w:val="auto"/>
          <w:kern w:val="2"/>
          <w:sz w:val="32"/>
          <w:szCs w:val="32"/>
          <w:highlight w:val="none"/>
          <w:lang w:val="en-US" w:eastAsia="zh-CN" w:bidi="ar-SA"/>
        </w:rPr>
      </w:pPr>
      <w:r>
        <w:rPr>
          <w:rFonts w:ascii="Times New Roman" w:hAnsi="Times New Roman"/>
          <w:sz w:val="32"/>
        </w:rPr>
        <mc:AlternateContent>
          <mc:Choice Requires="wps">
            <w:drawing>
              <wp:anchor distT="0" distB="0" distL="113665" distR="113665" simplePos="0" relativeHeight="251659264" behindDoc="0" locked="0" layoutInCell="1" allowOverlap="1">
                <wp:simplePos x="0" y="0"/>
                <wp:positionH relativeFrom="column">
                  <wp:posOffset>2628265</wp:posOffset>
                </wp:positionH>
                <wp:positionV relativeFrom="paragraph">
                  <wp:posOffset>1749425</wp:posOffset>
                </wp:positionV>
                <wp:extent cx="857250" cy="381000"/>
                <wp:effectExtent l="0" t="0" r="0" b="0"/>
                <wp:wrapNone/>
                <wp:docPr id="10" name="文本框 5"/>
                <wp:cNvGraphicFramePr/>
                <a:graphic xmlns:a="http://schemas.openxmlformats.org/drawingml/2006/main">
                  <a:graphicData uri="http://schemas.microsoft.com/office/word/2010/wordprocessingShape">
                    <wps:wsp>
                      <wps:cNvSpPr/>
                      <wps:spPr>
                        <a:xfrm>
                          <a:off x="0" y="0"/>
                          <a:ext cx="857250" cy="381000"/>
                        </a:xfrm>
                        <a:prstGeom prst="rect">
                          <a:avLst/>
                        </a:prstGeom>
                        <a:noFill/>
                        <a:ln w="6350" cap="flat" cmpd="sng">
                          <a:noFill/>
                          <a:prstDash val="solid"/>
                          <a:round/>
                        </a:ln>
                      </wps:spPr>
                      <wps:txbx>
                        <w:txbxContent>
                          <w:p w14:paraId="4E4DE291">
                            <w:pPr>
                              <w:rPr>
                                <w:rFonts w:eastAsia="宋体"/>
                                <w:lang w:val="en-US" w:eastAsia="zh-CN"/>
                              </w:rPr>
                            </w:pPr>
                            <w:r>
                              <w:rPr>
                                <w:rFonts w:hint="eastAsia"/>
                                <w:lang w:val="en-US" w:eastAsia="zh-CN"/>
                              </w:rPr>
                              <w:t>78.34%</w:t>
                            </w:r>
                          </w:p>
                        </w:txbxContent>
                      </wps:txbx>
                      <wps:bodyPr vert="horz" wrap="square" lIns="91440" tIns="45720" rIns="91440" bIns="45720" anchor="t" anchorCtr="0" upright="0">
                        <a:noAutofit/>
                      </wps:bodyPr>
                    </wps:wsp>
                  </a:graphicData>
                </a:graphic>
              </wp:anchor>
            </w:drawing>
          </mc:Choice>
          <mc:Fallback>
            <w:pict>
              <v:rect id="文本框 5" o:spid="_x0000_s1026" o:spt="1" style="position:absolute;left:0pt;margin-left:206.95pt;margin-top:137.75pt;height:30pt;width:67.5pt;z-index:251659264;mso-width-relative:page;mso-height-relative:page;" filled="f" stroked="f" coordsize="21600,21600" o:gfxdata="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FW3zXbAAAACwEAAA8AAAAAAAAAAQAg&#10;AAAAIgAAAGRycy9kb3ducmV2LnhtbFBLAQIUABQAAAAIAIdO4kBdy5JACwIAAAcEAAAOAAAAAAAA&#10;AAEAIAAAACoBAABkcnMvZTJvRG9jLnhtbFBLBQYAAAAABgAGAFkBAACnBQAAAAA=&#10;">
                <v:fill on="f" focussize="0,0"/>
                <v:stroke on="f" weight="0.5pt" joinstyle="round"/>
                <v:imagedata o:title=""/>
                <o:lock v:ext="edit" aspectratio="f"/>
                <v:textbox>
                  <w:txbxContent>
                    <w:p w14:paraId="4E4DE291">
                      <w:pPr>
                        <w:rPr>
                          <w:rFonts w:eastAsia="宋体"/>
                          <w:lang w:val="en-US" w:eastAsia="zh-CN"/>
                        </w:rPr>
                      </w:pPr>
                      <w:r>
                        <w:rPr>
                          <w:rFonts w:hint="eastAsia"/>
                          <w:lang w:val="en-US" w:eastAsia="zh-CN"/>
                        </w:rPr>
                        <w:t>78.34%</w:t>
                      </w:r>
                    </w:p>
                  </w:txbxContent>
                </v:textbox>
              </v:rect>
            </w:pict>
          </mc:Fallback>
        </mc:AlternateContent>
      </w:r>
      <w:r>
        <w:rPr>
          <w:rFonts w:ascii="Times New Roman" w:hAnsi="Times New Roman"/>
          <w:sz w:val="32"/>
        </w:rPr>
        <mc:AlternateContent>
          <mc:Choice Requires="wps">
            <w:drawing>
              <wp:anchor distT="0" distB="0" distL="113665" distR="113665" simplePos="0" relativeHeight="251659264" behindDoc="0" locked="0" layoutInCell="1" allowOverlap="1">
                <wp:simplePos x="0" y="0"/>
                <wp:positionH relativeFrom="column">
                  <wp:posOffset>1865630</wp:posOffset>
                </wp:positionH>
                <wp:positionV relativeFrom="paragraph">
                  <wp:posOffset>1083310</wp:posOffset>
                </wp:positionV>
                <wp:extent cx="914400" cy="447675"/>
                <wp:effectExtent l="0" t="0" r="0" b="0"/>
                <wp:wrapNone/>
                <wp:docPr id="13" name="文本框 2"/>
                <wp:cNvGraphicFramePr/>
                <a:graphic xmlns:a="http://schemas.openxmlformats.org/drawingml/2006/main">
                  <a:graphicData uri="http://schemas.microsoft.com/office/word/2010/wordprocessingShape">
                    <wps:wsp>
                      <wps:cNvSpPr/>
                      <wps:spPr>
                        <a:xfrm>
                          <a:off x="0" y="0"/>
                          <a:ext cx="914399" cy="447674"/>
                        </a:xfrm>
                        <a:prstGeom prst="rect">
                          <a:avLst/>
                        </a:prstGeom>
                        <a:noFill/>
                        <a:ln w="6350" cap="flat" cmpd="sng">
                          <a:noFill/>
                          <a:prstDash val="solid"/>
                          <a:round/>
                        </a:ln>
                      </wps:spPr>
                      <wps:txbx>
                        <w:txbxContent>
                          <w:p w14:paraId="22026808">
                            <w:pPr>
                              <w:rPr>
                                <w:rFonts w:eastAsia="宋体"/>
                                <w:lang w:val="en-US" w:eastAsia="zh-CN"/>
                              </w:rPr>
                            </w:pPr>
                            <w:r>
                              <w:rPr>
                                <w:rFonts w:hint="eastAsia"/>
                                <w:lang w:val="en-US" w:eastAsia="zh-CN"/>
                              </w:rPr>
                              <w:t>21.66%</w:t>
                            </w:r>
                          </w:p>
                        </w:txbxContent>
                      </wps:txbx>
                      <wps:bodyPr vert="horz" wrap="square" lIns="91440" tIns="45720" rIns="91440" bIns="45720" anchor="t" anchorCtr="0" upright="0">
                        <a:noAutofit/>
                      </wps:bodyPr>
                    </wps:wsp>
                  </a:graphicData>
                </a:graphic>
              </wp:anchor>
            </w:drawing>
          </mc:Choice>
          <mc:Fallback>
            <w:pict>
              <v:rect id="文本框 2" o:spid="_x0000_s1026" o:spt="1" style="position:absolute;left:0pt;margin-left:146.9pt;margin-top:85.3pt;height:35.25pt;width:72pt;z-index:251659264;mso-width-relative:page;mso-height-relative:page;" filled="f" stroked="f" coordsize="21600,21600" o:gfxdata="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K4v3DbAAAACwEAAA8AAAAAAAAA&#10;AQAgAAAAIgAAAGRycy9kb3ducmV2LnhtbFBLAQIUABQAAAAIAIdO4kBxsU3ODgIAAAcEAAAOAAAA&#10;AAAAAAEAIAAAACoBAABkcnMvZTJvRG9jLnhtbFBLBQYAAAAABgAGAFkBAACqBQAAAAA=&#10;">
                <v:fill on="f" focussize="0,0"/>
                <v:stroke on="f" weight="0.5pt" joinstyle="round"/>
                <v:imagedata o:title=""/>
                <o:lock v:ext="edit" aspectratio="f"/>
                <v:textbox>
                  <w:txbxContent>
                    <w:p w14:paraId="22026808">
                      <w:pPr>
                        <w:rPr>
                          <w:rFonts w:eastAsia="宋体"/>
                          <w:lang w:val="en-US" w:eastAsia="zh-CN"/>
                        </w:rPr>
                      </w:pPr>
                      <w:r>
                        <w:rPr>
                          <w:rFonts w:hint="eastAsia"/>
                          <w:lang w:val="en-US" w:eastAsia="zh-CN"/>
                        </w:rPr>
                        <w:t>21.66%</w:t>
                      </w:r>
                    </w:p>
                  </w:txbxContent>
                </v:textbox>
              </v:rect>
            </w:pict>
          </mc:Fallback>
        </mc:AlternateContent>
      </w:r>
      <w:r>
        <w:rPr>
          <w:rFonts w:hint="eastAsia" w:ascii="Times New Roman" w:hAnsi="Times New Roman" w:eastAsia="方正仿宋_GBK" w:cs="仿宋_GB2312"/>
          <w:color w:val="auto"/>
          <w:kern w:val="2"/>
          <w:sz w:val="32"/>
          <w:szCs w:val="32"/>
          <w:highlight w:val="none"/>
          <w:lang w:val="en-US" w:eastAsia="zh-CN" w:bidi="ar-SA"/>
        </w:rPr>
        <w:drawing>
          <wp:inline distT="0" distB="0" distL="114300" distR="114300">
            <wp:extent cx="5256530" cy="2988310"/>
            <wp:effectExtent l="0" t="0" r="0" b="0"/>
            <wp:docPr id="1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E8EEF9">
      <w:pPr>
        <w:pStyle w:val="23"/>
        <w:rPr>
          <w:rFonts w:hint="eastAsia" w:ascii="Times New Roman" w:hAnsi="Times New Roman" w:eastAsia="方正仿宋_GBK"/>
          <w:lang w:val="en-US" w:eastAsia="zh-CN"/>
        </w:rPr>
      </w:pPr>
    </w:p>
    <w:p w14:paraId="09B158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方正仿宋_GBK" w:cs="仿宋_GB2312"/>
          <w:color w:val="auto"/>
          <w:sz w:val="28"/>
          <w:szCs w:val="28"/>
          <w:highlight w:val="none"/>
          <w:lang w:val="en-US" w:eastAsia="zh-CN"/>
        </w:rPr>
      </w:pPr>
      <w:r>
        <w:rPr>
          <w:rFonts w:hint="eastAsia" w:ascii="Times New Roman" w:hAnsi="Times New Roman" w:eastAsia="方正仿宋_GBK" w:cs="仿宋_GB2312"/>
          <w:color w:val="auto"/>
          <w:sz w:val="28"/>
          <w:szCs w:val="28"/>
          <w:highlight w:val="none"/>
          <w:lang w:val="en-US" w:eastAsia="zh-CN"/>
        </w:rPr>
        <w:t>（图7：“三公”经费财政拨款支出结构）（饼状图）</w:t>
      </w:r>
    </w:p>
    <w:p w14:paraId="235C23DB">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b/>
          <w:bCs/>
          <w:color w:val="auto"/>
          <w:kern w:val="2"/>
          <w:sz w:val="32"/>
          <w:szCs w:val="32"/>
          <w:highlight w:val="none"/>
          <w:lang w:val="en-US" w:eastAsia="zh-CN" w:bidi="ar-SA"/>
        </w:rPr>
        <w:t>1.因公出国（境）经费支出0万元，完成预算100%。</w:t>
      </w:r>
      <w:r>
        <w:rPr>
          <w:rFonts w:hint="eastAsia" w:ascii="Times New Roman" w:hAnsi="Times New Roman" w:eastAsia="方正仿宋_GBK" w:cs="仿宋_GB2312"/>
          <w:color w:val="auto"/>
          <w:kern w:val="2"/>
          <w:sz w:val="32"/>
          <w:szCs w:val="32"/>
          <w:highlight w:val="none"/>
          <w:lang w:val="en-US" w:eastAsia="zh-CN" w:bidi="ar-SA"/>
        </w:rPr>
        <w:t>全年安排因公出国（境）团组</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次，出国（境）</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人。因公出国（境）支出决算与</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w:t>
      </w:r>
      <w:r>
        <w:rPr>
          <w:rFonts w:hint="eastAsia" w:eastAsia="方正仿宋_GBK" w:cs="仿宋_GB2312"/>
          <w:color w:val="auto"/>
          <w:kern w:val="2"/>
          <w:sz w:val="32"/>
          <w:szCs w:val="32"/>
          <w:highlight w:val="none"/>
          <w:lang w:val="en-US" w:eastAsia="zh-CN" w:bidi="ar-SA"/>
        </w:rPr>
        <w:t>度</w:t>
      </w:r>
      <w:r>
        <w:rPr>
          <w:rFonts w:hint="eastAsia" w:ascii="Times New Roman" w:hAnsi="Times New Roman" w:eastAsia="方正仿宋_GBK" w:cs="仿宋_GB2312"/>
          <w:color w:val="auto"/>
          <w:kern w:val="2"/>
          <w:sz w:val="32"/>
          <w:szCs w:val="32"/>
          <w:highlight w:val="none"/>
          <w:lang w:val="en-US" w:eastAsia="zh-CN" w:bidi="ar-SA"/>
        </w:rPr>
        <w:t>持平。</w:t>
      </w:r>
    </w:p>
    <w:p w14:paraId="03EE3FD1">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580" w:lineRule="exact"/>
        <w:ind w:left="0" w:right="0" w:firstLine="640"/>
        <w:jc w:val="both"/>
        <w:textAlignment w:val="auto"/>
        <w:rPr>
          <w:rFonts w:ascii="Times New Roman" w:hAnsi="Times New Roman" w:eastAsia="方正仿宋_GBK" w:cs="仿宋_GB2312"/>
          <w:kern w:val="2"/>
          <w:sz w:val="32"/>
          <w:szCs w:val="32"/>
        </w:rPr>
      </w:pPr>
      <w:r>
        <w:rPr>
          <w:rFonts w:hint="eastAsia" w:ascii="Times New Roman" w:hAnsi="Times New Roman" w:eastAsia="方正仿宋_GBK" w:cs="仿宋_GB2312"/>
          <w:b/>
          <w:bCs/>
          <w:color w:val="auto"/>
          <w:kern w:val="2"/>
          <w:sz w:val="32"/>
          <w:szCs w:val="32"/>
          <w:highlight w:val="none"/>
          <w:lang w:val="en-US" w:eastAsia="zh-CN" w:bidi="ar-SA"/>
        </w:rPr>
        <w:t>2.公务用车购置及运行维护费支出</w:t>
      </w:r>
      <w:r>
        <w:rPr>
          <w:rFonts w:hint="eastAsia" w:eastAsia="方正仿宋_GBK" w:cs="仿宋_GB2312"/>
          <w:b/>
          <w:bCs/>
          <w:color w:val="auto"/>
          <w:kern w:val="2"/>
          <w:sz w:val="32"/>
          <w:szCs w:val="32"/>
          <w:highlight w:val="none"/>
          <w:lang w:val="en-US" w:eastAsia="zh-CN" w:bidi="ar-SA"/>
        </w:rPr>
        <w:t>22.53</w:t>
      </w:r>
      <w:r>
        <w:rPr>
          <w:rFonts w:hint="eastAsia" w:ascii="Times New Roman" w:hAnsi="Times New Roman" w:eastAsia="方正仿宋_GBK" w:cs="仿宋_GB2312"/>
          <w:b/>
          <w:bCs/>
          <w:color w:val="auto"/>
          <w:kern w:val="2"/>
          <w:sz w:val="32"/>
          <w:szCs w:val="32"/>
          <w:highlight w:val="none"/>
          <w:lang w:val="en-US" w:eastAsia="zh-CN" w:bidi="ar-SA"/>
        </w:rPr>
        <w:t>万元，完成预算100%。</w:t>
      </w:r>
      <w:r>
        <w:rPr>
          <w:rFonts w:hint="eastAsia" w:ascii="Times New Roman" w:hAnsi="Times New Roman" w:eastAsia="方正仿宋_GBK" w:cs="仿宋_GB2312"/>
          <w:color w:val="auto"/>
          <w:kern w:val="2"/>
          <w:sz w:val="32"/>
          <w:szCs w:val="32"/>
          <w:highlight w:val="none"/>
          <w:lang w:val="en-US" w:eastAsia="zh-CN" w:bidi="ar-SA"/>
        </w:rPr>
        <w:t>公务用车购置及运行维护费支出决算比</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年度减少0.</w:t>
      </w:r>
      <w:r>
        <w:rPr>
          <w:rFonts w:hint="eastAsia" w:eastAsia="方正仿宋_GBK" w:cs="仿宋_GB2312"/>
          <w:color w:val="auto"/>
          <w:kern w:val="2"/>
          <w:sz w:val="32"/>
          <w:szCs w:val="32"/>
          <w:highlight w:val="none"/>
          <w:lang w:val="en-US" w:eastAsia="zh-CN" w:bidi="ar-SA"/>
        </w:rPr>
        <w:t>53</w:t>
      </w:r>
      <w:r>
        <w:rPr>
          <w:rFonts w:hint="eastAsia" w:ascii="Times New Roman" w:hAnsi="Times New Roman" w:eastAsia="方正仿宋_GBK" w:cs="仿宋_GB2312"/>
          <w:color w:val="auto"/>
          <w:kern w:val="2"/>
          <w:sz w:val="32"/>
          <w:szCs w:val="32"/>
          <w:highlight w:val="none"/>
          <w:lang w:val="en-US" w:eastAsia="zh-CN" w:bidi="ar-SA"/>
        </w:rPr>
        <w:t>万元，下降</w:t>
      </w:r>
      <w:r>
        <w:rPr>
          <w:rFonts w:hint="eastAsia" w:eastAsia="方正仿宋_GBK" w:cs="仿宋_GB2312"/>
          <w:color w:val="auto"/>
          <w:kern w:val="2"/>
          <w:sz w:val="32"/>
          <w:szCs w:val="32"/>
          <w:highlight w:val="none"/>
          <w:lang w:val="en-US" w:eastAsia="zh-CN" w:bidi="ar-SA"/>
        </w:rPr>
        <w:t>2.3</w:t>
      </w:r>
      <w:r>
        <w:rPr>
          <w:rFonts w:hint="eastAsia" w:ascii="Times New Roman" w:hAnsi="Times New Roman" w:eastAsia="方正仿宋_GBK" w:cs="仿宋_GB2312"/>
          <w:color w:val="auto"/>
          <w:kern w:val="2"/>
          <w:sz w:val="32"/>
          <w:szCs w:val="32"/>
          <w:highlight w:val="none"/>
          <w:lang w:val="en-US" w:eastAsia="zh-CN" w:bidi="ar-SA"/>
        </w:rPr>
        <w:t>%。主要原因是</w:t>
      </w:r>
      <w:r>
        <w:rPr>
          <w:rFonts w:ascii="Times New Roman" w:hAnsi="Times New Roman" w:eastAsia="方正仿宋_GBK" w:cs="仿宋_GB2312"/>
          <w:kern w:val="2"/>
          <w:sz w:val="32"/>
          <w:szCs w:val="32"/>
          <w:lang w:val="en-US" w:eastAsia="zh-CN"/>
        </w:rPr>
        <w:t>坚持厉行节约，严格按预算进行三公经费开支。</w:t>
      </w:r>
    </w:p>
    <w:p w14:paraId="5D2778F3">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其中：公务用车购置支出</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万元。全年按规定更新购置公务用车0辆。截至202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年12月31日，单位共有公务用车</w:t>
      </w:r>
      <w:r>
        <w:rPr>
          <w:rFonts w:hint="eastAsia" w:eastAsia="方正仿宋_GBK" w:cs="仿宋_GB2312"/>
          <w:color w:val="auto"/>
          <w:kern w:val="2"/>
          <w:sz w:val="32"/>
          <w:szCs w:val="32"/>
          <w:highlight w:val="none"/>
          <w:lang w:val="en-US" w:eastAsia="zh-CN" w:bidi="ar-SA"/>
        </w:rPr>
        <w:t>3</w:t>
      </w:r>
      <w:r>
        <w:rPr>
          <w:rFonts w:hint="eastAsia" w:ascii="Times New Roman" w:hAnsi="Times New Roman" w:eastAsia="方正仿宋_GBK" w:cs="仿宋_GB2312"/>
          <w:color w:val="auto"/>
          <w:kern w:val="2"/>
          <w:sz w:val="32"/>
          <w:szCs w:val="32"/>
          <w:highlight w:val="none"/>
          <w:lang w:val="en-US" w:eastAsia="zh-CN" w:bidi="ar-SA"/>
        </w:rPr>
        <w:t>辆，其中：轿车1辆、越野车</w:t>
      </w:r>
      <w:r>
        <w:rPr>
          <w:rFonts w:hint="eastAsia" w:eastAsia="方正仿宋_GBK" w:cs="仿宋_GB2312"/>
          <w:color w:val="auto"/>
          <w:kern w:val="2"/>
          <w:sz w:val="32"/>
          <w:szCs w:val="32"/>
          <w:highlight w:val="none"/>
          <w:lang w:val="en-US" w:eastAsia="zh-CN" w:bidi="ar-SA"/>
        </w:rPr>
        <w:t>2</w:t>
      </w:r>
      <w:r>
        <w:rPr>
          <w:rFonts w:hint="eastAsia" w:ascii="Times New Roman" w:hAnsi="Times New Roman" w:eastAsia="方正仿宋_GBK" w:cs="仿宋_GB2312"/>
          <w:color w:val="auto"/>
          <w:kern w:val="2"/>
          <w:sz w:val="32"/>
          <w:szCs w:val="32"/>
          <w:highlight w:val="none"/>
          <w:lang w:val="en-US" w:eastAsia="zh-CN" w:bidi="ar-SA"/>
        </w:rPr>
        <w:t>辆、载客汽车0辆。</w:t>
      </w:r>
    </w:p>
    <w:p w14:paraId="63A55B5A">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公务用车运行维护费支出</w:t>
      </w:r>
      <w:r>
        <w:rPr>
          <w:rFonts w:hint="eastAsia" w:eastAsia="方正仿宋_GBK" w:cs="仿宋_GB2312"/>
          <w:color w:val="auto"/>
          <w:kern w:val="2"/>
          <w:sz w:val="32"/>
          <w:szCs w:val="32"/>
          <w:highlight w:val="none"/>
          <w:lang w:val="en-US" w:eastAsia="zh-CN" w:bidi="ar-SA"/>
        </w:rPr>
        <w:t>22.53</w:t>
      </w:r>
      <w:r>
        <w:rPr>
          <w:rFonts w:hint="eastAsia" w:ascii="Times New Roman" w:hAnsi="Times New Roman" w:eastAsia="方正仿宋_GBK" w:cs="仿宋_GB2312"/>
          <w:color w:val="auto"/>
          <w:kern w:val="2"/>
          <w:sz w:val="32"/>
          <w:szCs w:val="32"/>
          <w:highlight w:val="none"/>
          <w:lang w:val="en-US" w:eastAsia="zh-CN" w:bidi="ar-SA"/>
        </w:rPr>
        <w:t>万元。主要用于日常工作开展所需的公务用车燃料费、维修费、过路过桥费、保险费等支出。</w:t>
      </w:r>
    </w:p>
    <w:p w14:paraId="51BD8315">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580" w:lineRule="exact"/>
        <w:ind w:left="0" w:right="0" w:firstLine="640"/>
        <w:jc w:val="both"/>
        <w:textAlignment w:val="auto"/>
        <w:rPr>
          <w:rFonts w:hint="eastAsia" w:ascii="Times New Roman" w:hAnsi="Times New Roman" w:eastAsia="方正仿宋_GBK" w:cs="仿宋_GB2312"/>
          <w:color w:val="auto"/>
          <w:kern w:val="2"/>
          <w:sz w:val="32"/>
          <w:szCs w:val="32"/>
          <w:highlight w:val="yellow"/>
          <w:lang w:val="en-US" w:eastAsia="zh-CN" w:bidi="ar-SA"/>
        </w:rPr>
      </w:pPr>
      <w:r>
        <w:rPr>
          <w:rFonts w:hint="eastAsia" w:ascii="Times New Roman" w:hAnsi="Times New Roman" w:eastAsia="方正仿宋_GBK" w:cs="仿宋_GB2312"/>
          <w:b/>
          <w:bCs/>
          <w:color w:val="auto"/>
          <w:kern w:val="2"/>
          <w:sz w:val="32"/>
          <w:szCs w:val="32"/>
          <w:highlight w:val="none"/>
          <w:lang w:val="en-US" w:eastAsia="zh-CN" w:bidi="ar-SA"/>
        </w:rPr>
        <w:t>3.公务接待费支出6.</w:t>
      </w:r>
      <w:r>
        <w:rPr>
          <w:rFonts w:hint="eastAsia" w:eastAsia="方正仿宋_GBK" w:cs="仿宋_GB2312"/>
          <w:b/>
          <w:bCs/>
          <w:color w:val="auto"/>
          <w:kern w:val="2"/>
          <w:sz w:val="32"/>
          <w:szCs w:val="32"/>
          <w:highlight w:val="none"/>
          <w:lang w:val="en-US" w:eastAsia="zh-CN" w:bidi="ar-SA"/>
        </w:rPr>
        <w:t>23</w:t>
      </w:r>
      <w:r>
        <w:rPr>
          <w:rFonts w:hint="eastAsia" w:ascii="Times New Roman" w:hAnsi="Times New Roman" w:eastAsia="方正仿宋_GBK" w:cs="仿宋_GB2312"/>
          <w:b/>
          <w:bCs/>
          <w:color w:val="auto"/>
          <w:kern w:val="2"/>
          <w:sz w:val="32"/>
          <w:szCs w:val="32"/>
          <w:highlight w:val="none"/>
          <w:lang w:val="en-US" w:eastAsia="zh-CN" w:bidi="ar-SA"/>
        </w:rPr>
        <w:t>万元，完成预算100%。</w:t>
      </w:r>
      <w:r>
        <w:rPr>
          <w:rFonts w:hint="eastAsia" w:ascii="Times New Roman" w:hAnsi="Times New Roman" w:eastAsia="方正仿宋_GBK" w:cs="仿宋_GB2312"/>
          <w:color w:val="auto"/>
          <w:kern w:val="2"/>
          <w:sz w:val="32"/>
          <w:szCs w:val="32"/>
          <w:highlight w:val="none"/>
          <w:lang w:val="en-US" w:eastAsia="zh-CN" w:bidi="ar-SA"/>
        </w:rPr>
        <w:t>公务接待费支出决算比</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年度减少0.</w:t>
      </w:r>
      <w:r>
        <w:rPr>
          <w:rFonts w:hint="eastAsia" w:eastAsia="方正仿宋_GBK" w:cs="仿宋_GB2312"/>
          <w:color w:val="auto"/>
          <w:kern w:val="2"/>
          <w:sz w:val="32"/>
          <w:szCs w:val="32"/>
          <w:highlight w:val="none"/>
          <w:lang w:val="en-US" w:eastAsia="zh-CN" w:bidi="ar-SA"/>
        </w:rPr>
        <w:t>1</w:t>
      </w:r>
      <w:r>
        <w:rPr>
          <w:rFonts w:hint="eastAsia" w:ascii="Times New Roman" w:hAnsi="Times New Roman" w:eastAsia="方正仿宋_GBK" w:cs="仿宋_GB2312"/>
          <w:color w:val="auto"/>
          <w:kern w:val="2"/>
          <w:sz w:val="32"/>
          <w:szCs w:val="32"/>
          <w:highlight w:val="none"/>
          <w:lang w:val="en-US" w:eastAsia="zh-CN" w:bidi="ar-SA"/>
        </w:rPr>
        <w:t>7万元，下降</w:t>
      </w:r>
      <w:r>
        <w:rPr>
          <w:rFonts w:hint="eastAsia" w:eastAsia="方正仿宋_GBK" w:cs="仿宋_GB2312"/>
          <w:color w:val="auto"/>
          <w:kern w:val="2"/>
          <w:sz w:val="32"/>
          <w:szCs w:val="32"/>
          <w:highlight w:val="none"/>
          <w:lang w:val="en-US" w:eastAsia="zh-CN" w:bidi="ar-SA"/>
        </w:rPr>
        <w:t>2.66</w:t>
      </w:r>
      <w:r>
        <w:rPr>
          <w:rFonts w:hint="eastAsia" w:ascii="Times New Roman" w:hAnsi="Times New Roman" w:eastAsia="方正仿宋_GBK" w:cs="仿宋_GB2312"/>
          <w:color w:val="auto"/>
          <w:kern w:val="2"/>
          <w:sz w:val="32"/>
          <w:szCs w:val="32"/>
          <w:highlight w:val="none"/>
          <w:lang w:val="en-US" w:eastAsia="zh-CN" w:bidi="ar-SA"/>
        </w:rPr>
        <w:t>%。</w:t>
      </w:r>
      <w:r>
        <w:rPr>
          <w:rFonts w:ascii="Times New Roman" w:hAnsi="Times New Roman" w:eastAsia="方正仿宋_GBK" w:cs="仿宋_GB2312"/>
          <w:kern w:val="2"/>
          <w:sz w:val="32"/>
          <w:szCs w:val="32"/>
          <w:lang w:val="en-US" w:eastAsia="zh-CN"/>
        </w:rPr>
        <w:t>主要原因是坚持厉行节约，严格按预算进行三公经费开支</w:t>
      </w:r>
      <w:r>
        <w:rPr>
          <w:rFonts w:hint="eastAsia" w:ascii="Times New Roman" w:hAnsi="Times New Roman" w:eastAsia="方正仿宋_GBK" w:cs="仿宋_GB2312"/>
          <w:kern w:val="2"/>
          <w:sz w:val="32"/>
          <w:szCs w:val="32"/>
          <w:lang w:val="en-US" w:eastAsia="zh-CN"/>
        </w:rPr>
        <w:t>。</w:t>
      </w:r>
      <w:r>
        <w:rPr>
          <w:rFonts w:hint="eastAsia" w:ascii="Times New Roman" w:hAnsi="Times New Roman" w:eastAsia="方正仿宋_GBK" w:cs="仿宋_GB2312"/>
          <w:color w:val="auto"/>
          <w:kern w:val="2"/>
          <w:sz w:val="32"/>
          <w:szCs w:val="32"/>
          <w:highlight w:val="none"/>
          <w:lang w:val="en-US" w:eastAsia="zh-CN" w:bidi="ar-SA"/>
        </w:rPr>
        <w:t>其中：国内公务接待支出</w:t>
      </w:r>
      <w:r>
        <w:rPr>
          <w:rFonts w:hint="eastAsia" w:ascii="Times New Roman" w:hAnsi="Times New Roman" w:eastAsia="方正仿宋_GBK" w:cs="仿宋_GB2312"/>
          <w:sz w:val="32"/>
          <w:szCs w:val="32"/>
          <w:lang w:val="en-US" w:eastAsia="zh-CN"/>
        </w:rPr>
        <w:t>6.</w:t>
      </w:r>
      <w:r>
        <w:rPr>
          <w:rFonts w:hint="eastAsia" w:eastAsia="方正仿宋_GBK" w:cs="仿宋_GB2312"/>
          <w:sz w:val="32"/>
          <w:szCs w:val="32"/>
          <w:lang w:val="en-US" w:eastAsia="zh-CN"/>
        </w:rPr>
        <w:t>23</w:t>
      </w:r>
      <w:r>
        <w:rPr>
          <w:rFonts w:hint="eastAsia" w:ascii="Times New Roman" w:hAnsi="Times New Roman" w:eastAsia="方正仿宋_GBK" w:cs="仿宋_GB2312"/>
          <w:color w:val="auto"/>
          <w:kern w:val="2"/>
          <w:sz w:val="32"/>
          <w:szCs w:val="32"/>
          <w:highlight w:val="none"/>
          <w:lang w:val="en-US" w:eastAsia="zh-CN" w:bidi="ar-SA"/>
        </w:rPr>
        <w:t>万元，主要用于执行公务的用餐费等。国内公务接待</w:t>
      </w:r>
      <w:r>
        <w:rPr>
          <w:rFonts w:hint="eastAsia" w:eastAsia="方正仿宋_GBK" w:cs="仿宋_GB2312"/>
          <w:color w:val="auto"/>
          <w:kern w:val="2"/>
          <w:sz w:val="32"/>
          <w:szCs w:val="32"/>
          <w:highlight w:val="none"/>
          <w:lang w:val="en-US" w:eastAsia="zh-CN" w:bidi="ar-SA"/>
        </w:rPr>
        <w:t>49</w:t>
      </w:r>
      <w:r>
        <w:rPr>
          <w:rFonts w:hint="eastAsia" w:ascii="Times New Roman" w:hAnsi="Times New Roman" w:eastAsia="方正仿宋_GBK" w:cs="仿宋_GB2312"/>
          <w:color w:val="auto"/>
          <w:kern w:val="2"/>
          <w:sz w:val="32"/>
          <w:szCs w:val="32"/>
          <w:highlight w:val="none"/>
          <w:lang w:val="en-US" w:eastAsia="zh-CN" w:bidi="ar-SA"/>
        </w:rPr>
        <w:t>批次，</w:t>
      </w:r>
      <w:r>
        <w:rPr>
          <w:rFonts w:hint="eastAsia" w:eastAsia="方正仿宋_GBK" w:cs="仿宋_GB2312"/>
          <w:sz w:val="32"/>
          <w:szCs w:val="32"/>
          <w:lang w:val="en-US" w:eastAsia="zh-CN"/>
        </w:rPr>
        <w:t>342</w:t>
      </w:r>
      <w:r>
        <w:rPr>
          <w:rFonts w:hint="eastAsia" w:ascii="Times New Roman" w:hAnsi="Times New Roman" w:eastAsia="方正仿宋_GBK" w:cs="仿宋_GB2312"/>
          <w:color w:val="auto"/>
          <w:kern w:val="2"/>
          <w:sz w:val="32"/>
          <w:szCs w:val="32"/>
          <w:highlight w:val="none"/>
          <w:lang w:val="en-US" w:eastAsia="zh-CN" w:bidi="ar-SA"/>
        </w:rPr>
        <w:t>人次（不包括陪同人员），共计支出</w:t>
      </w:r>
      <w:r>
        <w:rPr>
          <w:rFonts w:hint="eastAsia" w:eastAsia="方正仿宋_GBK" w:cs="仿宋_GB2312"/>
          <w:color w:val="auto"/>
          <w:kern w:val="2"/>
          <w:sz w:val="32"/>
          <w:szCs w:val="32"/>
          <w:highlight w:val="none"/>
          <w:lang w:val="en-US" w:eastAsia="zh-CN" w:bidi="ar-SA"/>
        </w:rPr>
        <w:t>6.23</w:t>
      </w:r>
      <w:r>
        <w:rPr>
          <w:rFonts w:hint="eastAsia" w:ascii="Times New Roman" w:hAnsi="Times New Roman" w:eastAsia="方正仿宋_GBK" w:cs="仿宋_GB2312"/>
          <w:color w:val="auto"/>
          <w:kern w:val="2"/>
          <w:sz w:val="32"/>
          <w:szCs w:val="32"/>
          <w:highlight w:val="none"/>
          <w:lang w:val="en-US" w:eastAsia="zh-CN" w:bidi="ar-SA"/>
        </w:rPr>
        <w:t>万元。</w:t>
      </w:r>
      <w:r>
        <w:rPr>
          <w:rFonts w:hint="eastAsia" w:eastAsia="方正仿宋_GBK" w:cs="仿宋_GB2312"/>
          <w:color w:val="auto"/>
          <w:kern w:val="2"/>
          <w:sz w:val="32"/>
          <w:szCs w:val="32"/>
          <w:highlight w:val="none"/>
          <w:lang w:val="en-US" w:eastAsia="zh-CN" w:bidi="ar-SA"/>
        </w:rPr>
        <w:t>主要内容包括：指导督导、考察调研活动、媒体采访宣传等事项。</w:t>
      </w:r>
    </w:p>
    <w:p w14:paraId="6F101BE7">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未发生外事接待支出。</w:t>
      </w:r>
      <w:bookmarkStart w:id="43" w:name="_Toc15377218"/>
      <w:bookmarkStart w:id="44" w:name="_Toc15396610"/>
    </w:p>
    <w:p w14:paraId="456D7B15">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5" w:name="_Toc15646"/>
      <w:r>
        <w:rPr>
          <w:rFonts w:hint="eastAsia" w:ascii="Times New Roman" w:hAnsi="Times New Roman" w:eastAsia="方正黑体_GBK" w:cs="方正黑体_GBK"/>
          <w:color w:val="auto"/>
          <w:sz w:val="32"/>
          <w:szCs w:val="32"/>
          <w:highlight w:val="none"/>
          <w:lang w:eastAsia="zh-CN"/>
        </w:rPr>
        <w:t>八、政府性基金预算支出决算情况说明</w:t>
      </w:r>
      <w:bookmarkEnd w:id="43"/>
      <w:bookmarkEnd w:id="44"/>
      <w:bookmarkEnd w:id="45"/>
    </w:p>
    <w:p w14:paraId="716C8F4F">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年度政府性基金预算财政拨款支出</w:t>
      </w:r>
      <w:r>
        <w:rPr>
          <w:rFonts w:hint="eastAsia" w:eastAsia="方正仿宋_GBK" w:cs="仿宋_GB2312"/>
          <w:color w:val="auto"/>
          <w:kern w:val="2"/>
          <w:sz w:val="32"/>
          <w:szCs w:val="32"/>
          <w:highlight w:val="none"/>
          <w:lang w:val="en-US" w:eastAsia="zh-CN" w:bidi="ar-SA"/>
        </w:rPr>
        <w:t>0</w:t>
      </w:r>
      <w:r>
        <w:rPr>
          <w:rFonts w:hint="eastAsia" w:ascii="Times New Roman" w:hAnsi="Times New Roman" w:eastAsia="方正仿宋_GBK" w:cs="仿宋_GB2312"/>
          <w:color w:val="auto"/>
          <w:kern w:val="2"/>
          <w:sz w:val="32"/>
          <w:szCs w:val="32"/>
          <w:highlight w:val="none"/>
          <w:lang w:val="en-US" w:eastAsia="zh-CN" w:bidi="ar-SA"/>
        </w:rPr>
        <w:t>万元，占本年支出合计的</w:t>
      </w:r>
      <w:r>
        <w:rPr>
          <w:rFonts w:hint="eastAsia" w:eastAsia="方正仿宋_GBK" w:cs="仿宋_GB2312"/>
          <w:color w:val="auto"/>
          <w:kern w:val="2"/>
          <w:sz w:val="32"/>
          <w:szCs w:val="32"/>
          <w:highlight w:val="none"/>
          <w:lang w:val="en-US" w:eastAsia="zh-CN" w:bidi="ar-SA"/>
        </w:rPr>
        <w:t>0</w:t>
      </w:r>
      <w:r>
        <w:rPr>
          <w:rFonts w:hint="eastAsia" w:ascii="Times New Roman" w:hAnsi="Times New Roman" w:eastAsia="方正仿宋_GBK" w:cs="仿宋_GB2312"/>
          <w:color w:val="auto"/>
          <w:kern w:val="2"/>
          <w:sz w:val="32"/>
          <w:szCs w:val="32"/>
          <w:highlight w:val="none"/>
          <w:lang w:val="en-US" w:eastAsia="zh-CN" w:bidi="ar-SA"/>
        </w:rPr>
        <w:t>%。与</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年度相比，政府性基金预算财政拨款支出</w:t>
      </w:r>
      <w:r>
        <w:rPr>
          <w:rFonts w:hint="eastAsia" w:eastAsia="方正仿宋_GBK" w:cs="仿宋_GB2312"/>
          <w:color w:val="auto"/>
          <w:kern w:val="2"/>
          <w:sz w:val="32"/>
          <w:szCs w:val="32"/>
          <w:highlight w:val="none"/>
          <w:lang w:val="en-US" w:eastAsia="zh-CN" w:bidi="ar-SA"/>
        </w:rPr>
        <w:t>减少</w:t>
      </w:r>
      <w:r>
        <w:rPr>
          <w:rFonts w:hint="eastAsia" w:ascii="Times New Roman" w:hAnsi="Times New Roman" w:eastAsia="方正仿宋_GBK" w:cs="仿宋_GB2312"/>
          <w:color w:val="auto"/>
          <w:kern w:val="2"/>
          <w:sz w:val="32"/>
          <w:szCs w:val="32"/>
          <w:highlight w:val="none"/>
          <w:lang w:val="en-US" w:eastAsia="zh-CN" w:bidi="ar-SA"/>
        </w:rPr>
        <w:t>40万元，</w:t>
      </w:r>
      <w:r>
        <w:rPr>
          <w:rFonts w:hint="eastAsia" w:eastAsia="方正仿宋_GBK" w:cs="仿宋_GB2312"/>
          <w:color w:val="auto"/>
          <w:kern w:val="2"/>
          <w:sz w:val="32"/>
          <w:szCs w:val="32"/>
          <w:highlight w:val="none"/>
          <w:lang w:val="en-US" w:eastAsia="zh-CN" w:bidi="ar-SA"/>
        </w:rPr>
        <w:t>减少</w:t>
      </w:r>
      <w:r>
        <w:rPr>
          <w:rFonts w:hint="eastAsia" w:ascii="Times New Roman" w:hAnsi="Times New Roman" w:eastAsia="方正仿宋_GBK" w:cs="仿宋_GB2312"/>
          <w:color w:val="auto"/>
          <w:kern w:val="2"/>
          <w:sz w:val="32"/>
          <w:szCs w:val="32"/>
          <w:highlight w:val="none"/>
          <w:lang w:val="en-US" w:eastAsia="zh-CN" w:bidi="ar-SA"/>
        </w:rPr>
        <w:t>100%。主要变动原因是本年度</w:t>
      </w:r>
      <w:r>
        <w:rPr>
          <w:rFonts w:hint="eastAsia" w:eastAsia="方正仿宋_GBK" w:cs="仿宋_GB2312"/>
          <w:color w:val="auto"/>
          <w:kern w:val="2"/>
          <w:sz w:val="32"/>
          <w:szCs w:val="32"/>
          <w:highlight w:val="none"/>
          <w:lang w:val="en-US" w:eastAsia="zh-CN" w:bidi="ar-SA"/>
        </w:rPr>
        <w:t>没有</w:t>
      </w:r>
      <w:r>
        <w:rPr>
          <w:rFonts w:hint="eastAsia" w:ascii="Times New Roman" w:hAnsi="Times New Roman" w:eastAsia="方正仿宋_GBK" w:cs="仿宋_GB2312"/>
          <w:color w:val="auto"/>
          <w:kern w:val="2"/>
          <w:sz w:val="32"/>
          <w:szCs w:val="32"/>
          <w:highlight w:val="none"/>
          <w:lang w:val="en-US" w:eastAsia="zh-CN" w:bidi="ar-SA"/>
        </w:rPr>
        <w:t>省级国家电影事业发展专项资金。</w:t>
      </w:r>
    </w:p>
    <w:p w14:paraId="164F1708">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6" w:name="_Toc15396611"/>
      <w:bookmarkStart w:id="47" w:name="_Toc15377219"/>
      <w:bookmarkStart w:id="48" w:name="_Toc15519"/>
      <w:r>
        <w:rPr>
          <w:rFonts w:hint="eastAsia" w:ascii="Times New Roman" w:hAnsi="Times New Roman" w:eastAsia="方正黑体_GBK" w:cs="方正黑体_GBK"/>
          <w:color w:val="auto"/>
          <w:sz w:val="32"/>
          <w:szCs w:val="32"/>
          <w:highlight w:val="none"/>
          <w:lang w:eastAsia="zh-CN"/>
        </w:rPr>
        <w:t>九、国有资本经营预算支出决算情况说明</w:t>
      </w:r>
      <w:bookmarkEnd w:id="46"/>
      <w:bookmarkEnd w:id="47"/>
      <w:bookmarkEnd w:id="48"/>
    </w:p>
    <w:p w14:paraId="6FCBD964">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年度国有资本经营预算财政拨款支出</w:t>
      </w:r>
      <w:r>
        <w:rPr>
          <w:rFonts w:hint="eastAsia" w:ascii="Times New Roman" w:hAnsi="Times New Roman" w:eastAsia="方正仿宋_GBK" w:cs="仿宋_GB2312"/>
          <w:sz w:val="32"/>
          <w:szCs w:val="32"/>
          <w:lang w:val="en-US" w:eastAsia="zh-CN"/>
        </w:rPr>
        <w:t>0</w:t>
      </w:r>
      <w:r>
        <w:rPr>
          <w:rFonts w:hint="eastAsia" w:ascii="Times New Roman" w:hAnsi="Times New Roman" w:eastAsia="方正仿宋_GBK" w:cs="仿宋_GB2312"/>
          <w:color w:val="auto"/>
          <w:kern w:val="2"/>
          <w:sz w:val="32"/>
          <w:szCs w:val="32"/>
          <w:highlight w:val="none"/>
          <w:lang w:val="en-US" w:eastAsia="zh-CN" w:bidi="ar-SA"/>
        </w:rPr>
        <w:t>万元。</w:t>
      </w:r>
    </w:p>
    <w:p w14:paraId="2E7F9194">
      <w:pPr>
        <w:pStyle w:val="29"/>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textAlignment w:val="auto"/>
        <w:outlineLvl w:val="1"/>
        <w:rPr>
          <w:rFonts w:hint="eastAsia" w:ascii="Times New Roman" w:hAnsi="Times New Roman" w:eastAsia="方正黑体_GBK" w:cs="方正黑体_GBK"/>
          <w:color w:val="auto"/>
          <w:sz w:val="32"/>
          <w:szCs w:val="32"/>
          <w:highlight w:val="none"/>
          <w:lang w:eastAsia="zh-CN"/>
        </w:rPr>
      </w:pPr>
      <w:bookmarkStart w:id="49" w:name="_Toc31218"/>
      <w:bookmarkStart w:id="50" w:name="_Toc15377221"/>
      <w:bookmarkStart w:id="51" w:name="_Toc15396612"/>
      <w:r>
        <w:rPr>
          <w:rFonts w:hint="eastAsia" w:ascii="Times New Roman" w:hAnsi="Times New Roman" w:eastAsia="方正黑体_GBK" w:cs="方正黑体_GBK"/>
          <w:color w:val="auto"/>
          <w:sz w:val="32"/>
          <w:szCs w:val="32"/>
          <w:highlight w:val="none"/>
          <w:lang w:eastAsia="zh-CN"/>
        </w:rPr>
        <w:t>十、其他重要事项的情况说明</w:t>
      </w:r>
      <w:bookmarkEnd w:id="49"/>
      <w:bookmarkEnd w:id="50"/>
      <w:bookmarkEnd w:id="51"/>
    </w:p>
    <w:p w14:paraId="49AA14D1">
      <w:pPr>
        <w:keepNext w:val="0"/>
        <w:keepLines w:val="0"/>
        <w:pageBreakBefore w:val="0"/>
        <w:widowControl w:val="0"/>
        <w:kinsoku/>
        <w:wordWrap/>
        <w:overflowPunct/>
        <w:topLinePunct w:val="0"/>
        <w:autoSpaceDN/>
        <w:bidi w:val="0"/>
        <w:adjustRightInd w:val="0"/>
        <w:snapToGrid w:val="0"/>
        <w:spacing w:line="580" w:lineRule="exact"/>
        <w:ind w:left="0" w:firstLine="640" w:firstLineChars="200"/>
        <w:jc w:val="both"/>
        <w:textAlignment w:val="auto"/>
        <w:outlineLvl w:val="2"/>
        <w:rPr>
          <w:rFonts w:hint="eastAsia" w:ascii="Times New Roman" w:hAnsi="Times New Roman" w:eastAsia="方正楷体_GBK" w:cs="方正楷体_GBK"/>
          <w:b w:val="0"/>
          <w:bCs/>
          <w:color w:val="auto"/>
          <w:sz w:val="32"/>
          <w:szCs w:val="32"/>
          <w:highlight w:val="none"/>
        </w:rPr>
      </w:pPr>
      <w:bookmarkStart w:id="52" w:name="_Toc15377222"/>
      <w:r>
        <w:rPr>
          <w:rFonts w:hint="eastAsia" w:ascii="Times New Roman" w:hAnsi="Times New Roman" w:eastAsia="方正楷体_GBK" w:cs="方正楷体_GBK"/>
          <w:b w:val="0"/>
          <w:bCs/>
          <w:color w:val="auto"/>
          <w:sz w:val="32"/>
          <w:szCs w:val="32"/>
          <w:highlight w:val="none"/>
        </w:rPr>
        <w:t>（一）机关运行经费支出情况</w:t>
      </w:r>
      <w:bookmarkEnd w:id="52"/>
    </w:p>
    <w:p w14:paraId="36705F02">
      <w:pPr>
        <w:keepNext w:val="0"/>
        <w:keepLines w:val="0"/>
        <w:pageBreakBefore w:val="0"/>
        <w:widowControl w:val="0"/>
        <w:kinsoku/>
        <w:wordWrap/>
        <w:overflowPunct/>
        <w:topLinePunct w:val="0"/>
        <w:autoSpaceDN/>
        <w:bidi w:val="0"/>
        <w:adjustRightInd w:val="0"/>
        <w:snapToGrid w:val="0"/>
        <w:spacing w:line="580" w:lineRule="exact"/>
        <w:ind w:lef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w:t>
      </w:r>
      <w:r>
        <w:rPr>
          <w:rFonts w:hint="eastAsia" w:ascii="Times New Roman" w:hAnsi="Times New Roman" w:eastAsia="方正仿宋_GBK" w:cs="仿宋_GB2312"/>
          <w:sz w:val="32"/>
          <w:szCs w:val="32"/>
        </w:rPr>
        <w:t>中国共产党</w:t>
      </w:r>
      <w:r>
        <w:rPr>
          <w:rFonts w:hint="eastAsia" w:ascii="Times New Roman" w:hAnsi="Times New Roman" w:eastAsia="方正仿宋_GBK" w:cs="仿宋_GB2312"/>
          <w:sz w:val="32"/>
          <w:szCs w:val="32"/>
          <w:lang w:eastAsia="zh-CN"/>
        </w:rPr>
        <w:t>巴中市委员会宣传部</w:t>
      </w:r>
      <w:r>
        <w:rPr>
          <w:rFonts w:hint="eastAsia" w:ascii="Times New Roman" w:hAnsi="Times New Roman" w:eastAsia="方正仿宋_GBK" w:cs="仿宋_GB2312"/>
          <w:color w:val="auto"/>
          <w:kern w:val="2"/>
          <w:sz w:val="32"/>
          <w:szCs w:val="32"/>
          <w:highlight w:val="none"/>
          <w:lang w:val="en-US" w:eastAsia="zh-CN" w:bidi="ar-SA"/>
        </w:rPr>
        <w:t>机关运行经费支出</w:t>
      </w:r>
      <w:r>
        <w:rPr>
          <w:rFonts w:hint="eastAsia" w:ascii="Times New Roman" w:hAnsi="Times New Roman" w:eastAsia="方正仿宋_GBK" w:cs="仿宋_GB2312"/>
          <w:sz w:val="32"/>
          <w:szCs w:val="32"/>
          <w:lang w:val="en-US" w:eastAsia="zh-CN"/>
        </w:rPr>
        <w:t>1</w:t>
      </w:r>
      <w:r>
        <w:rPr>
          <w:rFonts w:hint="eastAsia" w:eastAsia="方正仿宋_GBK" w:cs="仿宋_GB2312"/>
          <w:sz w:val="32"/>
          <w:szCs w:val="32"/>
          <w:lang w:val="en-US" w:eastAsia="zh-CN"/>
        </w:rPr>
        <w:t>83.7</w:t>
      </w:r>
      <w:r>
        <w:rPr>
          <w:rFonts w:hint="eastAsia" w:ascii="Times New Roman" w:hAnsi="Times New Roman" w:eastAsia="方正仿宋_GBK" w:cs="仿宋_GB2312"/>
          <w:color w:val="auto"/>
          <w:kern w:val="2"/>
          <w:sz w:val="32"/>
          <w:szCs w:val="32"/>
          <w:highlight w:val="none"/>
          <w:lang w:val="en-US" w:eastAsia="zh-CN" w:bidi="ar-SA"/>
        </w:rPr>
        <w:t>万元，比</w:t>
      </w:r>
      <w:r>
        <w:rPr>
          <w:rFonts w:hint="eastAsia" w:eastAsia="方正仿宋_GBK" w:cs="仿宋_GB2312"/>
          <w:color w:val="auto"/>
          <w:kern w:val="2"/>
          <w:sz w:val="32"/>
          <w:szCs w:val="32"/>
          <w:highlight w:val="none"/>
          <w:lang w:val="en-US" w:eastAsia="zh-CN" w:bidi="ar-SA"/>
        </w:rPr>
        <w:t>上</w:t>
      </w:r>
      <w:r>
        <w:rPr>
          <w:rFonts w:hint="eastAsia" w:ascii="Times New Roman" w:hAnsi="Times New Roman" w:eastAsia="方正仿宋_GBK" w:cs="仿宋_GB2312"/>
          <w:color w:val="auto"/>
          <w:kern w:val="2"/>
          <w:sz w:val="32"/>
          <w:szCs w:val="32"/>
          <w:highlight w:val="none"/>
          <w:lang w:val="en-US" w:eastAsia="zh-CN" w:bidi="ar-SA"/>
        </w:rPr>
        <w:t>年度</w:t>
      </w:r>
      <w:r>
        <w:rPr>
          <w:rFonts w:eastAsia="方正仿宋_GBK" w:cs="仿宋_GB2312"/>
          <w:color w:val="auto"/>
          <w:kern w:val="2"/>
          <w:sz w:val="32"/>
          <w:szCs w:val="32"/>
          <w:highlight w:val="none"/>
          <w:lang w:val="en-US" w:eastAsia="zh-CN" w:bidi="ar-SA"/>
        </w:rPr>
        <w:t>减少35.23</w:t>
      </w:r>
      <w:r>
        <w:rPr>
          <w:rFonts w:hint="eastAsia" w:ascii="Times New Roman" w:hAnsi="Times New Roman" w:eastAsia="方正仿宋_GBK" w:cs="仿宋_GB2312"/>
          <w:color w:val="auto"/>
          <w:kern w:val="2"/>
          <w:sz w:val="32"/>
          <w:szCs w:val="32"/>
          <w:highlight w:val="none"/>
          <w:lang w:val="en-US" w:eastAsia="zh-CN" w:bidi="ar-SA"/>
        </w:rPr>
        <w:t>万元，</w:t>
      </w:r>
      <w:r>
        <w:rPr>
          <w:rFonts w:ascii="Times New Roman" w:hAnsi="Times New Roman" w:eastAsia="方正仿宋_GBK" w:cs="仿宋_GB2312"/>
          <w:color w:val="auto"/>
          <w:kern w:val="2"/>
          <w:sz w:val="32"/>
          <w:szCs w:val="32"/>
          <w:highlight w:val="none"/>
          <w:lang w:val="en-US" w:eastAsia="zh-CN" w:bidi="ar-SA"/>
        </w:rPr>
        <w:t>减少19.18</w:t>
      </w:r>
      <w:r>
        <w:rPr>
          <w:rFonts w:hint="eastAsia" w:ascii="Times New Roman" w:hAnsi="Times New Roman" w:eastAsia="方正仿宋_GBK" w:cs="仿宋_GB2312"/>
          <w:color w:val="auto"/>
          <w:kern w:val="2"/>
          <w:sz w:val="32"/>
          <w:szCs w:val="32"/>
          <w:highlight w:val="none"/>
          <w:lang w:val="en-US" w:eastAsia="zh-CN" w:bidi="ar-SA"/>
        </w:rPr>
        <w:t>%。主要原因一是</w:t>
      </w:r>
      <w:r>
        <w:rPr>
          <w:rFonts w:eastAsia="方正仿宋_GBK" w:cs="仿宋_GB2312"/>
          <w:color w:val="auto"/>
          <w:kern w:val="2"/>
          <w:sz w:val="32"/>
          <w:szCs w:val="32"/>
          <w:highlight w:val="none"/>
          <w:lang w:val="en-US" w:eastAsia="zh-CN" w:bidi="ar-SA"/>
        </w:rPr>
        <w:t>预算基数降低</w:t>
      </w:r>
      <w:r>
        <w:rPr>
          <w:rFonts w:hint="eastAsia" w:ascii="Times New Roman" w:hAnsi="Times New Roman" w:eastAsia="方正仿宋_GBK" w:cs="仿宋_GB2312"/>
          <w:color w:val="auto"/>
          <w:kern w:val="2"/>
          <w:sz w:val="32"/>
          <w:szCs w:val="32"/>
          <w:highlight w:val="none"/>
          <w:lang w:val="en-US" w:eastAsia="zh-CN" w:bidi="ar-SA"/>
        </w:rPr>
        <w:t>，二是</w:t>
      </w:r>
      <w:r>
        <w:rPr>
          <w:rFonts w:hint="eastAsia" w:eastAsia="方正仿宋_GBK" w:cs="仿宋_GB2312"/>
          <w:color w:val="auto"/>
          <w:kern w:val="2"/>
          <w:sz w:val="32"/>
          <w:szCs w:val="32"/>
          <w:highlight w:val="none"/>
          <w:lang w:val="en-US" w:eastAsia="zh-CN" w:bidi="ar-SA"/>
        </w:rPr>
        <w:t>市委网信办</w:t>
      </w:r>
      <w:r>
        <w:rPr>
          <w:rFonts w:eastAsia="方正仿宋_GBK" w:cs="仿宋_GB2312"/>
          <w:color w:val="auto"/>
          <w:kern w:val="2"/>
          <w:sz w:val="32"/>
          <w:szCs w:val="32"/>
          <w:highlight w:val="none"/>
          <w:lang w:val="en-US" w:eastAsia="zh-CN" w:bidi="ar-SA"/>
        </w:rPr>
        <w:t>独立预算。</w:t>
      </w:r>
    </w:p>
    <w:p w14:paraId="64E5D38C">
      <w:pPr>
        <w:keepNext w:val="0"/>
        <w:keepLines w:val="0"/>
        <w:pageBreakBefore w:val="0"/>
        <w:widowControl w:val="0"/>
        <w:kinsoku/>
        <w:wordWrap/>
        <w:overflowPunct/>
        <w:topLinePunct w:val="0"/>
        <w:autoSpaceDN/>
        <w:bidi w:val="0"/>
        <w:adjustRightInd w:val="0"/>
        <w:snapToGrid w:val="0"/>
        <w:spacing w:line="580" w:lineRule="exact"/>
        <w:ind w:left="0" w:firstLine="640" w:firstLineChars="200"/>
        <w:jc w:val="both"/>
        <w:textAlignment w:val="auto"/>
        <w:outlineLvl w:val="2"/>
        <w:rPr>
          <w:rFonts w:hint="eastAsia" w:ascii="Times New Roman" w:hAnsi="Times New Roman" w:eastAsia="方正楷体_GBK" w:cs="方正楷体_GBK"/>
          <w:b w:val="0"/>
          <w:bCs/>
          <w:color w:val="auto"/>
          <w:sz w:val="32"/>
          <w:szCs w:val="32"/>
          <w:highlight w:val="none"/>
        </w:rPr>
      </w:pPr>
      <w:bookmarkStart w:id="53" w:name="_Toc15377223"/>
      <w:r>
        <w:rPr>
          <w:rFonts w:hint="eastAsia" w:ascii="Times New Roman" w:hAnsi="Times New Roman" w:eastAsia="方正楷体_GBK" w:cs="方正楷体_GBK"/>
          <w:b w:val="0"/>
          <w:bCs/>
          <w:color w:val="auto"/>
          <w:sz w:val="32"/>
          <w:szCs w:val="32"/>
          <w:highlight w:val="none"/>
        </w:rPr>
        <w:t>（二）政府采购支出情况</w:t>
      </w:r>
      <w:bookmarkEnd w:id="53"/>
    </w:p>
    <w:p w14:paraId="6EE01F87">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580" w:lineRule="exact"/>
        <w:ind w:left="0" w:righ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w:t>
      </w:r>
      <w:r>
        <w:rPr>
          <w:rFonts w:hint="eastAsia" w:ascii="Times New Roman" w:hAnsi="Times New Roman" w:eastAsia="方正仿宋_GBK" w:cs="仿宋_GB2312"/>
          <w:sz w:val="32"/>
          <w:szCs w:val="32"/>
        </w:rPr>
        <w:t>中国共产党</w:t>
      </w:r>
      <w:r>
        <w:rPr>
          <w:rFonts w:ascii="Times New Roman" w:hAnsi="Times New Roman" w:eastAsia="方正仿宋_GBK" w:cs="仿宋_GB2312"/>
          <w:kern w:val="2"/>
          <w:sz w:val="32"/>
          <w:szCs w:val="32"/>
          <w:lang w:val="en-US" w:eastAsia="zh-CN"/>
        </w:rPr>
        <w:t>巴中市委员会宣传部</w:t>
      </w:r>
      <w:r>
        <w:rPr>
          <w:rFonts w:hint="eastAsia" w:ascii="Times New Roman" w:hAnsi="Times New Roman" w:eastAsia="方正仿宋_GBK" w:cs="仿宋_GB2312"/>
          <w:color w:val="auto"/>
          <w:kern w:val="2"/>
          <w:sz w:val="32"/>
          <w:szCs w:val="32"/>
          <w:highlight w:val="none"/>
          <w:lang w:val="en-US" w:eastAsia="zh-CN" w:bidi="ar-SA"/>
        </w:rPr>
        <w:t>政府采购支出总额</w:t>
      </w:r>
      <w:r>
        <w:rPr>
          <w:rFonts w:hint="eastAsia" w:eastAsia="方正仿宋_GBK" w:cs="仿宋_GB2312"/>
          <w:color w:val="auto"/>
          <w:kern w:val="2"/>
          <w:sz w:val="32"/>
          <w:szCs w:val="32"/>
          <w:highlight w:val="none"/>
          <w:lang w:val="en-US" w:eastAsia="zh-CN" w:bidi="ar-SA"/>
        </w:rPr>
        <w:t>0</w:t>
      </w:r>
      <w:r>
        <w:rPr>
          <w:rFonts w:hint="eastAsia" w:ascii="Times New Roman" w:hAnsi="Times New Roman" w:eastAsia="方正仿宋_GBK" w:cs="仿宋_GB2312"/>
          <w:color w:val="auto"/>
          <w:kern w:val="2"/>
          <w:sz w:val="32"/>
          <w:szCs w:val="32"/>
          <w:highlight w:val="none"/>
          <w:lang w:val="en-US" w:eastAsia="zh-CN" w:bidi="ar-SA"/>
        </w:rPr>
        <w:t>万元</w:t>
      </w:r>
      <w:r>
        <w:rPr>
          <w:rFonts w:hint="eastAsia" w:eastAsia="方正仿宋_GBK" w:cs="仿宋_GB2312"/>
          <w:color w:val="auto"/>
          <w:kern w:val="2"/>
          <w:sz w:val="32"/>
          <w:szCs w:val="32"/>
          <w:highlight w:val="none"/>
          <w:lang w:val="en-US" w:eastAsia="zh-CN" w:bidi="ar-SA"/>
        </w:rPr>
        <w:t>。</w:t>
      </w:r>
    </w:p>
    <w:p w14:paraId="61B1A46C">
      <w:pPr>
        <w:keepNext w:val="0"/>
        <w:keepLines w:val="0"/>
        <w:pageBreakBefore w:val="0"/>
        <w:widowControl w:val="0"/>
        <w:kinsoku/>
        <w:wordWrap/>
        <w:overflowPunct/>
        <w:topLinePunct w:val="0"/>
        <w:autoSpaceDN/>
        <w:bidi w:val="0"/>
        <w:adjustRightInd w:val="0"/>
        <w:snapToGrid w:val="0"/>
        <w:spacing w:line="580" w:lineRule="exact"/>
        <w:ind w:left="0" w:firstLine="640" w:firstLineChars="200"/>
        <w:jc w:val="both"/>
        <w:textAlignment w:val="auto"/>
        <w:outlineLvl w:val="2"/>
        <w:rPr>
          <w:rFonts w:hint="eastAsia" w:ascii="Times New Roman" w:hAnsi="Times New Roman" w:eastAsia="方正楷体_GBK" w:cs="方正楷体_GBK"/>
          <w:b w:val="0"/>
          <w:bCs/>
          <w:color w:val="auto"/>
          <w:sz w:val="32"/>
          <w:szCs w:val="32"/>
          <w:highlight w:val="none"/>
        </w:rPr>
      </w:pPr>
      <w:bookmarkStart w:id="54" w:name="_Toc15377224"/>
      <w:r>
        <w:rPr>
          <w:rFonts w:hint="eastAsia" w:ascii="Times New Roman" w:hAnsi="Times New Roman" w:eastAsia="方正楷体_GBK" w:cs="方正楷体_GBK"/>
          <w:b w:val="0"/>
          <w:bCs/>
          <w:color w:val="auto"/>
          <w:sz w:val="32"/>
          <w:szCs w:val="32"/>
          <w:highlight w:val="none"/>
        </w:rPr>
        <w:t>（三）国有资产占有使用情况</w:t>
      </w:r>
      <w:bookmarkEnd w:id="54"/>
    </w:p>
    <w:p w14:paraId="7FFC4491">
      <w:pPr>
        <w:keepNext w:val="0"/>
        <w:keepLines w:val="0"/>
        <w:pageBreakBefore w:val="0"/>
        <w:widowControl w:val="0"/>
        <w:suppressLineNumbers w:val="0"/>
        <w:kinsoku/>
        <w:wordWrap/>
        <w:overflowPunct/>
        <w:topLinePunct w:val="0"/>
        <w:autoSpaceDN/>
        <w:bidi w:val="0"/>
        <w:adjustRightInd w:val="0"/>
        <w:snapToGrid w:val="0"/>
        <w:spacing w:before="0" w:beforeAutospacing="0" w:after="0" w:afterAutospacing="0" w:line="580" w:lineRule="exact"/>
        <w:ind w:left="0" w:right="0" w:firstLine="640"/>
        <w:jc w:val="both"/>
        <w:textAlignment w:val="auto"/>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截至202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年12月31日，中</w:t>
      </w:r>
      <w:r>
        <w:rPr>
          <w:rFonts w:ascii="Times New Roman" w:hAnsi="Times New Roman" w:eastAsia="方正仿宋_GBK" w:cs="仿宋_GB2312"/>
          <w:kern w:val="2"/>
          <w:sz w:val="32"/>
          <w:szCs w:val="32"/>
          <w:lang w:val="en-US" w:eastAsia="zh-CN"/>
        </w:rPr>
        <w:t>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共有车辆</w:t>
      </w:r>
      <w:r>
        <w:rPr>
          <w:rFonts w:hint="eastAsia" w:ascii="Times New Roman" w:hAnsi="Times New Roman" w:eastAsia="方正仿宋_GBK" w:cs="仿宋_GB2312"/>
          <w:sz w:val="32"/>
          <w:szCs w:val="32"/>
          <w:lang w:val="en-US" w:eastAsia="zh-CN"/>
        </w:rPr>
        <w:t>2</w:t>
      </w:r>
      <w:r>
        <w:rPr>
          <w:rFonts w:hint="eastAsia" w:ascii="Times New Roman" w:hAnsi="Times New Roman" w:eastAsia="方正仿宋_GBK" w:cs="仿宋_GB2312"/>
          <w:color w:val="auto"/>
          <w:kern w:val="2"/>
          <w:sz w:val="32"/>
          <w:szCs w:val="32"/>
          <w:highlight w:val="none"/>
          <w:lang w:val="en-US" w:eastAsia="zh-CN" w:bidi="ar-SA"/>
        </w:rPr>
        <w:t>辆，其中：应急保障用车</w:t>
      </w:r>
      <w:r>
        <w:rPr>
          <w:rFonts w:hint="eastAsia" w:ascii="Times New Roman" w:hAnsi="Times New Roman" w:eastAsia="方正仿宋_GBK" w:cs="仿宋_GB2312"/>
          <w:sz w:val="32"/>
          <w:szCs w:val="32"/>
          <w:lang w:val="en-US" w:eastAsia="zh-CN"/>
        </w:rPr>
        <w:t>2</w:t>
      </w:r>
      <w:r>
        <w:rPr>
          <w:rFonts w:hint="eastAsia" w:ascii="Times New Roman" w:hAnsi="Times New Roman" w:eastAsia="方正仿宋_GBK" w:cs="仿宋_GB2312"/>
          <w:color w:val="auto"/>
          <w:kern w:val="2"/>
          <w:sz w:val="32"/>
          <w:szCs w:val="32"/>
          <w:highlight w:val="none"/>
          <w:lang w:val="en-US" w:eastAsia="zh-CN" w:bidi="ar-SA"/>
        </w:rPr>
        <w:t>辆。无单价100万元（含）以上设备。</w:t>
      </w:r>
    </w:p>
    <w:p w14:paraId="106D3A7D">
      <w:pPr>
        <w:keepNext w:val="0"/>
        <w:keepLines w:val="0"/>
        <w:pageBreakBefore w:val="0"/>
        <w:widowControl w:val="0"/>
        <w:kinsoku/>
        <w:wordWrap/>
        <w:overflowPunct/>
        <w:topLinePunct w:val="0"/>
        <w:autoSpaceDN/>
        <w:bidi w:val="0"/>
        <w:adjustRightInd w:val="0"/>
        <w:snapToGrid w:val="0"/>
        <w:spacing w:line="580" w:lineRule="exact"/>
        <w:ind w:left="0" w:firstLine="640" w:firstLineChars="200"/>
        <w:jc w:val="both"/>
        <w:textAlignment w:val="auto"/>
        <w:outlineLvl w:val="2"/>
        <w:rPr>
          <w:rFonts w:hint="eastAsia" w:ascii="Times New Roman" w:hAnsi="Times New Roman" w:eastAsia="方正楷体_GBK" w:cs="方正楷体_GBK"/>
          <w:b w:val="0"/>
          <w:bCs/>
          <w:color w:val="auto"/>
          <w:sz w:val="32"/>
          <w:szCs w:val="32"/>
          <w:highlight w:val="none"/>
        </w:rPr>
      </w:pPr>
      <w:r>
        <w:rPr>
          <w:rFonts w:hint="eastAsia" w:ascii="Times New Roman" w:hAnsi="Times New Roman" w:eastAsia="方正楷体_GBK" w:cs="方正楷体_GBK"/>
          <w:b w:val="0"/>
          <w:bCs/>
          <w:color w:val="auto"/>
          <w:sz w:val="32"/>
          <w:szCs w:val="32"/>
          <w:highlight w:val="none"/>
        </w:rPr>
        <w:t>（四）预算绩效管理情况</w:t>
      </w:r>
    </w:p>
    <w:p w14:paraId="229D69C8">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auto"/>
        <w:rPr>
          <w:rFonts w:hint="eastAsia" w:ascii="Times New Roman" w:hAnsi="Times New Roman" w:eastAsia="方正仿宋_GBK" w:cs="方正仿宋_GBK"/>
          <w:kern w:val="0"/>
          <w:sz w:val="32"/>
          <w:szCs w:val="32"/>
        </w:rPr>
      </w:pPr>
      <w:r>
        <w:rPr>
          <w:rFonts w:hint="eastAsia" w:ascii="Times New Roman" w:hAnsi="Times New Roman" w:eastAsia="方正仿宋_GBK" w:cs="仿宋_GB2312"/>
          <w:color w:val="auto"/>
          <w:kern w:val="2"/>
          <w:sz w:val="32"/>
          <w:szCs w:val="32"/>
          <w:highlight w:val="none"/>
          <w:lang w:val="en-US" w:eastAsia="zh-CN" w:bidi="ar-SA"/>
        </w:rPr>
        <w:t>根据预算绩效管理要求，中</w:t>
      </w:r>
      <w:r>
        <w:rPr>
          <w:rFonts w:ascii="Times New Roman" w:hAnsi="Times New Roman" w:eastAsia="方正仿宋_GBK" w:cs="仿宋_GB2312"/>
          <w:kern w:val="2"/>
          <w:sz w:val="32"/>
          <w:szCs w:val="32"/>
          <w:lang w:val="en-US" w:eastAsia="zh-CN"/>
        </w:rPr>
        <w:t>国共产党巴中市委员会宣传部</w:t>
      </w:r>
      <w:r>
        <w:rPr>
          <w:rFonts w:hint="eastAsia" w:ascii="Times New Roman" w:hAnsi="Times New Roman" w:eastAsia="方正仿宋_GBK" w:cs="仿宋_GB2312"/>
          <w:color w:val="auto"/>
          <w:kern w:val="2"/>
          <w:sz w:val="32"/>
          <w:szCs w:val="32"/>
          <w:highlight w:val="none"/>
          <w:lang w:val="en-US" w:eastAsia="zh-CN" w:bidi="ar-SA"/>
        </w:rPr>
        <w:t>在202</w:t>
      </w:r>
      <w:r>
        <w:rPr>
          <w:rFonts w:hint="eastAsia" w:eastAsia="方正仿宋_GBK" w:cs="仿宋_GB2312"/>
          <w:color w:val="auto"/>
          <w:kern w:val="2"/>
          <w:sz w:val="32"/>
          <w:szCs w:val="32"/>
          <w:highlight w:val="none"/>
          <w:lang w:val="en-US" w:eastAsia="zh-CN" w:bidi="ar-SA"/>
        </w:rPr>
        <w:t>5</w:t>
      </w:r>
      <w:r>
        <w:rPr>
          <w:rFonts w:hint="eastAsia" w:ascii="Times New Roman" w:hAnsi="Times New Roman" w:eastAsia="方正仿宋_GBK" w:cs="仿宋_GB2312"/>
          <w:color w:val="auto"/>
          <w:kern w:val="2"/>
          <w:sz w:val="32"/>
          <w:szCs w:val="32"/>
          <w:highlight w:val="none"/>
          <w:lang w:val="en-US" w:eastAsia="zh-CN" w:bidi="ar-SA"/>
        </w:rPr>
        <w:t>年度预算编制阶段，组织对</w:t>
      </w:r>
      <w:r>
        <w:rPr>
          <w:rFonts w:hint="eastAsia" w:eastAsia="方正仿宋_GBK" w:cs="仿宋_GB2312"/>
          <w:color w:val="auto"/>
          <w:kern w:val="2"/>
          <w:sz w:val="32"/>
          <w:szCs w:val="32"/>
          <w:highlight w:val="none"/>
          <w:lang w:val="en-US" w:eastAsia="zh-CN" w:bidi="ar-SA"/>
        </w:rPr>
        <w:t>第七届全国文明城市创建工作经费、外宣策划及合作经费、2024年专项外宣合作经费3</w:t>
      </w:r>
      <w:r>
        <w:rPr>
          <w:rFonts w:hint="eastAsia" w:ascii="Times New Roman" w:hAnsi="Times New Roman" w:eastAsia="方正仿宋_GBK" w:cs="仿宋_GB2312"/>
          <w:color w:val="auto"/>
          <w:kern w:val="2"/>
          <w:sz w:val="32"/>
          <w:szCs w:val="32"/>
          <w:highlight w:val="none"/>
          <w:lang w:val="en-US" w:eastAsia="zh-CN" w:bidi="ar-SA"/>
        </w:rPr>
        <w:t>个项目开展了预算事前绩效评估，对</w:t>
      </w:r>
      <w:r>
        <w:rPr>
          <w:rFonts w:hint="eastAsia" w:eastAsia="方正仿宋_GBK" w:cs="仿宋_GB2312"/>
          <w:color w:val="auto"/>
          <w:kern w:val="2"/>
          <w:sz w:val="32"/>
          <w:szCs w:val="32"/>
          <w:highlight w:val="none"/>
          <w:lang w:val="en-US" w:eastAsia="zh-CN" w:bidi="ar-SA"/>
        </w:rPr>
        <w:t>29</w:t>
      </w:r>
      <w:r>
        <w:rPr>
          <w:rFonts w:hint="eastAsia" w:ascii="Times New Roman" w:hAnsi="Times New Roman" w:eastAsia="方正仿宋_GBK" w:cs="仿宋_GB2312"/>
          <w:color w:val="auto"/>
          <w:kern w:val="2"/>
          <w:sz w:val="32"/>
          <w:szCs w:val="32"/>
          <w:highlight w:val="none"/>
          <w:lang w:val="en-US" w:eastAsia="zh-CN" w:bidi="ar-SA"/>
        </w:rPr>
        <w:t>个项目编制了绩效目标，预算执行过程中，</w:t>
      </w:r>
      <w:r>
        <w:rPr>
          <w:rFonts w:hint="eastAsia" w:eastAsia="方正仿宋_GBK" w:cs="仿宋_GB2312"/>
          <w:color w:val="auto"/>
          <w:kern w:val="2"/>
          <w:sz w:val="32"/>
          <w:szCs w:val="32"/>
          <w:highlight w:val="none"/>
          <w:lang w:val="en-US" w:eastAsia="zh-CN" w:bidi="ar-SA"/>
        </w:rPr>
        <w:t>对29</w:t>
      </w:r>
      <w:r>
        <w:rPr>
          <w:rFonts w:hint="eastAsia" w:ascii="Times New Roman" w:hAnsi="Times New Roman" w:eastAsia="方正仿宋_GBK" w:cs="仿宋_GB2312"/>
          <w:color w:val="auto"/>
          <w:kern w:val="2"/>
          <w:sz w:val="32"/>
          <w:szCs w:val="32"/>
          <w:highlight w:val="none"/>
          <w:lang w:val="en-US" w:eastAsia="zh-CN" w:bidi="ar-SA"/>
        </w:rPr>
        <w:t>个项目开展绩效监控。</w:t>
      </w:r>
      <w:r>
        <w:rPr>
          <w:rFonts w:hint="eastAsia" w:ascii="仿宋_GB2312" w:eastAsia="仿宋_GB2312" w:cs="仿宋_GB2312"/>
          <w:color w:val="auto"/>
          <w:sz w:val="32"/>
          <w:szCs w:val="32"/>
          <w:highlight w:val="none"/>
        </w:rPr>
        <w:t>绩效自评表详见</w:t>
      </w:r>
      <w:r>
        <w:rPr>
          <w:rFonts w:hint="eastAsia" w:ascii="仿宋_GB2312" w:eastAsia="仿宋_GB2312" w:cs="仿宋_GB2312"/>
          <w:color w:val="auto"/>
          <w:sz w:val="32"/>
          <w:szCs w:val="32"/>
          <w:highlight w:val="none"/>
          <w:lang w:eastAsia="zh-CN"/>
        </w:rPr>
        <w:t>第四部分（涉密项目除外）。</w:t>
      </w:r>
    </w:p>
    <w:p w14:paraId="07A7E65D">
      <w:pPr>
        <w:keepNext w:val="0"/>
        <w:keepLines w:val="0"/>
        <w:pageBreakBefore w:val="0"/>
        <w:widowControl w:val="0"/>
        <w:kinsoku/>
        <w:wordWrap/>
        <w:overflowPunct/>
        <w:topLinePunct w:val="0"/>
        <w:autoSpaceDE/>
        <w:autoSpaceDN/>
        <w:bidi w:val="0"/>
        <w:adjustRightInd w:val="0"/>
        <w:snapToGrid w:val="0"/>
        <w:spacing w:line="580" w:lineRule="exact"/>
        <w:ind w:left="0" w:firstLine="640" w:firstLineChars="200"/>
        <w:jc w:val="both"/>
        <w:textAlignment w:val="auto"/>
        <w:rPr>
          <w:rFonts w:hint="eastAsia" w:ascii="Times New Roman" w:hAnsi="Times New Roman" w:eastAsia="方正仿宋_GBK" w:cs="方正仿宋_GBK"/>
          <w:snapToGrid w:val="0"/>
          <w:kern w:val="0"/>
          <w:sz w:val="32"/>
          <w:szCs w:val="32"/>
          <w:lang w:val="en-US" w:eastAsia="zh-CN"/>
        </w:rPr>
      </w:pPr>
    </w:p>
    <w:p w14:paraId="1952606D">
      <w:pPr>
        <w:keepNext w:val="0"/>
        <w:keepLines w:val="0"/>
        <w:widowControl w:val="0"/>
        <w:suppressLineNumbers w:val="0"/>
        <w:spacing w:before="0" w:beforeAutospacing="0" w:after="0" w:afterAutospacing="0"/>
        <w:ind w:left="0" w:right="0"/>
        <w:jc w:val="both"/>
        <w:rPr>
          <w:rFonts w:ascii="Times New Roman" w:hAnsi="Times New Roman" w:eastAsia="方正仿宋_GBK" w:cs="仿宋_GB2312"/>
          <w:b/>
          <w:bCs/>
          <w:color w:val="auto"/>
          <w:kern w:val="2"/>
          <w:sz w:val="32"/>
          <w:szCs w:val="32"/>
          <w:highlight w:val="none"/>
          <w:lang w:val="en-US" w:eastAsia="zh-CN" w:bidi="ar-SA"/>
        </w:rPr>
      </w:pPr>
    </w:p>
    <w:p w14:paraId="1BEF54D1">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p>
    <w:p w14:paraId="63EDB261">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p>
    <w:p w14:paraId="1BF4AE94">
      <w:pPr>
        <w:rPr>
          <w:rFonts w:hint="eastAsia" w:ascii="Times New Roman" w:hAnsi="Times New Roman" w:eastAsia="方正小标宋简体" w:cs="方正小标宋简体"/>
          <w:b w:val="0"/>
          <w:color w:val="auto"/>
          <w:highlight w:val="none"/>
        </w:rPr>
      </w:pPr>
      <w:bookmarkStart w:id="55" w:name="_Toc15377225"/>
      <w:bookmarkStart w:id="56" w:name="_Toc15396613"/>
      <w:r>
        <w:rPr>
          <w:rFonts w:hint="eastAsia" w:ascii="Times New Roman" w:hAnsi="Times New Roman" w:eastAsia="方正小标宋简体" w:cs="方正小标宋简体"/>
          <w:b w:val="0"/>
          <w:color w:val="auto"/>
          <w:highlight w:val="none"/>
        </w:rPr>
        <w:br w:type="page"/>
      </w:r>
    </w:p>
    <w:p w14:paraId="1A6AFEDF">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rPr>
      </w:pPr>
      <w:bookmarkStart w:id="57" w:name="_Toc1508"/>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55"/>
      <w:bookmarkEnd w:id="56"/>
      <w:bookmarkEnd w:id="57"/>
    </w:p>
    <w:p w14:paraId="0CB625B7">
      <w:pPr>
        <w:spacing w:line="600" w:lineRule="exact"/>
        <w:jc w:val="left"/>
        <w:rPr>
          <w:rFonts w:ascii="Times New Roman" w:hAnsi="Times New Roman" w:eastAsia="方正仿宋_GBK"/>
          <w:b/>
          <w:color w:val="auto"/>
          <w:sz w:val="44"/>
          <w:szCs w:val="44"/>
          <w:highlight w:val="none"/>
        </w:rPr>
      </w:pPr>
    </w:p>
    <w:p w14:paraId="2F80664E">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1.财政拨款收入：指单位从同级财政部门取得的财政预算资金。</w:t>
      </w:r>
    </w:p>
    <w:p w14:paraId="017BA695">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707FBF9">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0A586A12">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4.其他收入：指单位取得的除上述收入以外的各项收入。主要是……（收入类型）等。 </w:t>
      </w:r>
    </w:p>
    <w:p w14:paraId="5634D7F2">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47F33F6">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6.年初结转和结余：指以前年度尚未完成、结转到本年按有关规定继续使用的资金。 </w:t>
      </w:r>
    </w:p>
    <w:p w14:paraId="49C8D049">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5B986C1">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8.年末结转和结余：指单位按有关规定结转到下年或以后年度继续使用的资金。</w:t>
      </w:r>
    </w:p>
    <w:p w14:paraId="05A3DC7C">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10.</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一般公共服务支出（类）宣传事务（款）行政运行（项）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38EBCDD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0"/>
          <w:sz w:val="32"/>
          <w:szCs w:val="32"/>
        </w:rPr>
      </w:pPr>
      <w:r>
        <w:rPr>
          <w:rFonts w:ascii="Times New Roman" w:hAnsi="Times New Roman" w:eastAsia="方正仿宋_GBK" w:cs="Times New Roman"/>
          <w:b w:val="0"/>
          <w:i w:val="0"/>
          <w:spacing w:val="0"/>
          <w:kern w:val="2"/>
          <w:sz w:val="32"/>
          <w:szCs w:val="32"/>
          <w:lang w:val="en-US" w:eastAsia="zh-CN"/>
        </w:rPr>
        <w:t>11.</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一般公共服务支出（类）宣传事务（款）一般行政管理事务（项）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0"/>
          <w:sz w:val="32"/>
          <w:szCs w:val="32"/>
          <w:lang w:val="en-US" w:eastAsia="zh-CN"/>
        </w:rPr>
        <w:t>指行政单位（包括实行公务员管理的事业单位）未单独设置项级科目的其他项目支出。</w:t>
      </w:r>
    </w:p>
    <w:p w14:paraId="70211BC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12.</w:t>
      </w:r>
      <w:r>
        <w:rPr>
          <w:rFonts w:hint="eastAsia" w:ascii="Times New Roman" w:hAnsi="Times New Roman" w:eastAsia="方正仿宋_GBK" w:cs="方正仿宋_GBK"/>
          <w:b w:val="0"/>
          <w:i w:val="0"/>
          <w:color w:val="000000"/>
          <w:spacing w:val="0"/>
          <w:kern w:val="2"/>
          <w:sz w:val="32"/>
          <w:szCs w:val="32"/>
          <w:lang w:val="en-US" w:eastAsia="zh-CN"/>
        </w:rPr>
        <w:t>一般公共服务支出（类）宣传事务（款）事业运行（项）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w:t>
      </w:r>
      <w:r>
        <w:rPr>
          <w:rFonts w:ascii="Times New Roman" w:hAnsi="Times New Roman" w:eastAsia="方正仿宋_GBK" w:cs="仿宋"/>
          <w:color w:val="000000"/>
          <w:kern w:val="0"/>
          <w:sz w:val="32"/>
          <w:szCs w:val="32"/>
          <w:lang w:val="en-US" w:eastAsia="zh-CN"/>
        </w:rPr>
        <w:t>行政单位（包括实行公务员管理的事业单位）的基本支出</w:t>
      </w:r>
      <w:r>
        <w:rPr>
          <w:rFonts w:ascii="Times New Roman" w:hAnsi="Times New Roman" w:eastAsia="方正仿宋_GBK" w:cs="仿宋"/>
          <w:color w:val="000000"/>
          <w:kern w:val="2"/>
          <w:sz w:val="32"/>
          <w:szCs w:val="32"/>
          <w:lang w:val="en-US" w:eastAsia="zh-CN"/>
        </w:rPr>
        <w:t>。</w:t>
      </w:r>
    </w:p>
    <w:p w14:paraId="26141CB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Times New Roman"/>
          <w:kern w:val="2"/>
          <w:sz w:val="21"/>
          <w:szCs w:val="21"/>
        </w:rPr>
      </w:pPr>
      <w:r>
        <w:rPr>
          <w:rFonts w:ascii="Times New Roman" w:hAnsi="Times New Roman" w:eastAsia="方正仿宋_GBK" w:cs="Times New Roman"/>
          <w:kern w:val="2"/>
          <w:sz w:val="32"/>
          <w:szCs w:val="32"/>
          <w:lang w:val="en-US" w:eastAsia="zh-CN"/>
        </w:rPr>
        <w:t>1</w:t>
      </w:r>
      <w:r>
        <w:rPr>
          <w:rFonts w:hint="eastAsia" w:ascii="Times New Roman" w:hAnsi="Times New Roman" w:eastAsia="方正仿宋_GBK" w:cs="Times New Roman"/>
          <w:kern w:val="2"/>
          <w:sz w:val="32"/>
          <w:szCs w:val="32"/>
          <w:lang w:val="en-US" w:eastAsia="zh-CN"/>
        </w:rPr>
        <w:t>3</w:t>
      </w:r>
      <w:r>
        <w:rPr>
          <w:rFonts w:ascii="Times New Roman" w:hAnsi="Times New Roman" w:eastAsia="方正仿宋_GBK" w:cs="Times New Roman"/>
          <w:kern w:val="2"/>
          <w:sz w:val="32"/>
          <w:szCs w:val="32"/>
          <w:lang w:val="en-US" w:eastAsia="zh-CN"/>
        </w:rPr>
        <w:t>.</w:t>
      </w:r>
      <w:r>
        <w:rPr>
          <w:rFonts w:ascii="Times New Roman" w:hAnsi="Times New Roman" w:eastAsia="方正仿宋_GBK" w:cs="仿宋_GB2312"/>
          <w:kern w:val="2"/>
          <w:sz w:val="32"/>
          <w:szCs w:val="32"/>
          <w:lang w:val="en-US" w:eastAsia="zh-CN"/>
        </w:rPr>
        <w:t>文化旅游体育与传媒（类）文化和旅游（款）其他文化和旅游支出（项）：指文化和旅游款项中单列以外的其他用于文化和旅游方面的支出。</w:t>
      </w:r>
    </w:p>
    <w:p w14:paraId="3CBDFF2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方正仿宋_GBK"/>
          <w:b w:val="0"/>
          <w:i w:val="0"/>
          <w:spacing w:val="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4</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文化旅游体育与传媒支出（类）其他文化旅游体育与传媒支出（款）宣传文化发展专项支出（项）</w:t>
      </w:r>
      <w:r>
        <w:rPr>
          <w:rFonts w:hint="eastAsia" w:ascii="Times New Roman" w:hAnsi="Times New Roman" w:eastAsia="方正仿宋_GBK" w:cs="方正仿宋_GBK"/>
          <w:b w:val="0"/>
          <w:i w:val="0"/>
          <w:spacing w:val="0"/>
          <w:kern w:val="2"/>
          <w:sz w:val="32"/>
          <w:szCs w:val="32"/>
          <w:lang w:val="en-US" w:eastAsia="zh-CN"/>
        </w:rPr>
        <w:t>：指按照国家有关政策支持宣传文化单位发展的专项支出。</w:t>
      </w:r>
    </w:p>
    <w:p w14:paraId="09463087">
      <w:pPr>
        <w:pStyle w:val="15"/>
        <w:keepNext w:val="0"/>
        <w:keepLines w:val="0"/>
        <w:widowControl w:val="0"/>
        <w:suppressLineNumbers w:val="0"/>
        <w:snapToGrid w:val="0"/>
        <w:spacing w:before="0" w:beforeAutospacing="0" w:after="0" w:afterAutospacing="0"/>
        <w:ind w:left="0" w:right="0"/>
        <w:jc w:val="left"/>
        <w:rPr>
          <w:rFonts w:hint="eastAsia" w:ascii="Times New Roman" w:hAnsi="Times New Roman" w:eastAsia="方正仿宋_GBK" w:cs="Times New Roman"/>
          <w:kern w:val="2"/>
          <w:sz w:val="18"/>
          <w:szCs w:val="18"/>
        </w:rPr>
      </w:pPr>
      <w:r>
        <w:rPr>
          <w:rFonts w:hint="eastAsia" w:ascii="Times New Roman" w:hAnsi="Times New Roman" w:eastAsia="方正仿宋_GBK" w:cs="Times New Roman"/>
          <w:kern w:val="2"/>
          <w:sz w:val="18"/>
          <w:szCs w:val="18"/>
          <w:lang w:val="en-US" w:eastAsia="zh-CN"/>
        </w:rPr>
        <w:t xml:space="preserve"> </w:t>
      </w:r>
    </w:p>
    <w:p w14:paraId="4E61C57B">
      <w:pPr>
        <w:keepNext w:val="0"/>
        <w:keepLines w:val="0"/>
        <w:widowControl w:val="0"/>
        <w:suppressLineNumbers w:val="0"/>
        <w:spacing w:before="0" w:beforeAutospacing="0" w:after="0" w:afterAutospacing="0"/>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5</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社会保障和就业支出（类）行政事业单位养老支出（款）机关事业单位基本养老保险缴费支出（项）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指机关事业单位实施养老保险制度由单位缴纳的基本养老保险费支出。</w:t>
      </w:r>
    </w:p>
    <w:p w14:paraId="707C3648">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
          <w:color w:val="000000"/>
          <w:kern w:val="2"/>
          <w:sz w:val="32"/>
          <w:szCs w:val="32"/>
        </w:rPr>
      </w:pPr>
      <w:r>
        <w:rPr>
          <w:rFonts w:ascii="Times New Roman" w:hAnsi="Times New Roman" w:eastAsia="方正仿宋_GBK" w:cs="Times New Roman"/>
          <w:b w:val="0"/>
          <w:i w:val="0"/>
          <w:spacing w:val="0"/>
          <w:kern w:val="2"/>
          <w:sz w:val="32"/>
          <w:szCs w:val="32"/>
          <w:lang w:val="en-US" w:eastAsia="zh-CN"/>
        </w:rPr>
        <w:t>1</w:t>
      </w:r>
      <w:r>
        <w:rPr>
          <w:rFonts w:hint="eastAsia" w:ascii="Times New Roman" w:hAnsi="Times New Roman" w:eastAsia="方正仿宋_GBK" w:cs="Times New Roman"/>
          <w:b w:val="0"/>
          <w:i w:val="0"/>
          <w:spacing w:val="0"/>
          <w:kern w:val="2"/>
          <w:sz w:val="32"/>
          <w:szCs w:val="32"/>
          <w:lang w:val="en-US" w:eastAsia="zh-CN"/>
        </w:rPr>
        <w:t>6</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卫生健康支出（类）行政事业单位医疗（款）行政单位医疗（项）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反映财政部门集中安排的行政单位基本医疗保险缴费经费，未参加医疗保险的行政单位的公费医疗经费，按国家规定享受离休人员、红军老战士待遇人员的医疗经费。</w:t>
      </w:r>
    </w:p>
    <w:p w14:paraId="771E502A">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_GB2312"/>
          <w:kern w:val="2"/>
          <w:sz w:val="32"/>
          <w:szCs w:val="32"/>
        </w:rPr>
      </w:pPr>
      <w:r>
        <w:rPr>
          <w:rFonts w:ascii="Times New Roman" w:hAnsi="Times New Roman" w:eastAsia="方正仿宋_GBK" w:cs="Times New Roman"/>
          <w:kern w:val="2"/>
          <w:sz w:val="32"/>
          <w:szCs w:val="32"/>
          <w:lang w:val="en-US" w:eastAsia="zh-CN"/>
        </w:rPr>
        <w:t>1</w:t>
      </w:r>
      <w:r>
        <w:rPr>
          <w:rFonts w:hint="eastAsia" w:ascii="Times New Roman" w:hAnsi="Times New Roman" w:eastAsia="方正仿宋_GBK" w:cs="Times New Roman"/>
          <w:kern w:val="2"/>
          <w:sz w:val="32"/>
          <w:szCs w:val="32"/>
          <w:lang w:val="en-US" w:eastAsia="zh-CN"/>
        </w:rPr>
        <w:t>7</w:t>
      </w:r>
      <w:r>
        <w:rPr>
          <w:rFonts w:ascii="Times New Roman" w:hAnsi="Times New Roman" w:eastAsia="方正仿宋_GBK" w:cs="Times New Roman"/>
          <w:kern w:val="2"/>
          <w:sz w:val="32"/>
          <w:szCs w:val="32"/>
          <w:lang w:val="en-US" w:eastAsia="zh-CN"/>
        </w:rPr>
        <w:t>.</w:t>
      </w:r>
      <w:r>
        <w:rPr>
          <w:rFonts w:ascii="Times New Roman" w:hAnsi="Times New Roman" w:eastAsia="方正仿宋_GBK" w:cs="仿宋_GB2312"/>
          <w:kern w:val="2"/>
          <w:sz w:val="32"/>
          <w:szCs w:val="32"/>
          <w:lang w:val="en-US" w:eastAsia="zh-CN"/>
        </w:rPr>
        <w:t>卫生健康（类）行政事业单位医疗（款）事业单位医疗（项）：指财政部安排的事业单位基本医疗保险缴费经费，未参加医疗保险的事业单位的公费医疗经费，按国家规定享受离休人员待遇的医疗经费。</w:t>
      </w:r>
    </w:p>
    <w:p w14:paraId="3BFD64EF">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_GB2312"/>
          <w:kern w:val="2"/>
          <w:sz w:val="32"/>
          <w:szCs w:val="32"/>
        </w:rPr>
      </w:pPr>
      <w:r>
        <w:rPr>
          <w:rFonts w:hint="eastAsia" w:ascii="Times New Roman" w:hAnsi="Times New Roman" w:eastAsia="方正仿宋_GBK" w:cs="仿宋_GB2312"/>
          <w:kern w:val="2"/>
          <w:sz w:val="32"/>
          <w:szCs w:val="32"/>
          <w:lang w:val="en-US" w:eastAsia="zh-CN"/>
        </w:rPr>
        <w:t>18</w:t>
      </w:r>
      <w:r>
        <w:rPr>
          <w:rFonts w:ascii="Times New Roman" w:hAnsi="Times New Roman" w:eastAsia="方正仿宋_GBK" w:cs="仿宋_GB2312"/>
          <w:kern w:val="2"/>
          <w:sz w:val="32"/>
          <w:szCs w:val="32"/>
          <w:lang w:val="en-US" w:eastAsia="zh-CN"/>
        </w:rPr>
        <w:t>.卫生健康（类）行政事业单位医疗（款）其他行政事业单位医疗支出（项）：指除行政单位医疗款项单列以外的其他用于行政事业单位医疗方面的支出。</w:t>
      </w:r>
    </w:p>
    <w:p w14:paraId="34978641">
      <w:pPr>
        <w:keepNext w:val="0"/>
        <w:keepLines w:val="0"/>
        <w:widowControl w:val="0"/>
        <w:suppressLineNumbers w:val="0"/>
        <w:spacing w:before="0" w:beforeAutospacing="0" w:after="0" w:afterAutospacing="0" w:line="600" w:lineRule="exact"/>
        <w:ind w:left="0" w:right="0" w:firstLine="640" w:firstLineChars="200"/>
        <w:jc w:val="both"/>
        <w:rPr>
          <w:rFonts w:ascii="Times New Roman" w:hAnsi="Times New Roman" w:eastAsia="方正仿宋_GBK" w:cs="仿宋"/>
          <w:bCs/>
          <w:kern w:val="2"/>
          <w:sz w:val="32"/>
          <w:szCs w:val="32"/>
        </w:rPr>
      </w:pPr>
      <w:r>
        <w:rPr>
          <w:rFonts w:hint="eastAsia" w:ascii="Times New Roman" w:hAnsi="Times New Roman" w:eastAsia="方正仿宋_GBK" w:cs="仿宋_GB2312"/>
          <w:kern w:val="2"/>
          <w:sz w:val="32"/>
          <w:szCs w:val="32"/>
          <w:lang w:val="en-US" w:eastAsia="zh-CN"/>
        </w:rPr>
        <w:t>19</w:t>
      </w:r>
      <w:r>
        <w:rPr>
          <w:rFonts w:ascii="Times New Roman" w:hAnsi="Times New Roman" w:eastAsia="方正仿宋_GBK" w:cs="仿宋_GB2312"/>
          <w:kern w:val="2"/>
          <w:sz w:val="32"/>
          <w:szCs w:val="32"/>
          <w:lang w:val="en-US" w:eastAsia="zh-CN"/>
        </w:rPr>
        <w:t>.农林水（类）农业农村（款）其他农业农村支出（项）：指农业农村款项单列以外的其他用于农业农村方面的支出。</w:t>
      </w:r>
      <w:r>
        <w:rPr>
          <w:rFonts w:ascii="Times New Roman" w:hAnsi="Times New Roman" w:eastAsia="方正仿宋_GBK" w:cs="仿宋"/>
          <w:color w:val="000000"/>
          <w:kern w:val="2"/>
          <w:sz w:val="32"/>
          <w:szCs w:val="32"/>
          <w:lang w:val="en-US" w:eastAsia="zh-CN"/>
        </w:rPr>
        <w:br w:type="textWrapping"/>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 xml:space="preserve"> </w:t>
      </w:r>
      <w:r>
        <w:rPr>
          <w:rFonts w:ascii="Times New Roman" w:hAnsi="Times New Roman" w:eastAsia="方正仿宋_GBK" w:cs="仿宋"/>
          <w:color w:val="000000"/>
          <w:kern w:val="2"/>
          <w:sz w:val="32"/>
          <w:szCs w:val="32"/>
          <w:lang w:val="en-US" w:eastAsia="zh-CN"/>
        </w:rPr>
        <w:t xml:space="preserve">  </w:t>
      </w:r>
      <w:r>
        <w:rPr>
          <w:rFonts w:hint="eastAsia" w:ascii="Times New Roman" w:hAnsi="Times New Roman" w:eastAsia="方正仿宋_GBK" w:cs="仿宋"/>
          <w:color w:val="000000"/>
          <w:kern w:val="2"/>
          <w:sz w:val="32"/>
          <w:szCs w:val="32"/>
          <w:lang w:val="en-US" w:eastAsia="zh-CN"/>
        </w:rPr>
        <w:t>20</w:t>
      </w:r>
      <w:r>
        <w:rPr>
          <w:rFonts w:ascii="Times New Roman" w:hAnsi="Times New Roman" w:eastAsia="方正仿宋_GBK" w:cs="仿宋"/>
          <w:color w:val="00000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卫生健康支出（类）行政事业单位医疗（款）公务员医疗补助（项）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反映财政部门集中安排的公务员医疗补助经费。</w:t>
      </w:r>
    </w:p>
    <w:p w14:paraId="087B59AC">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cs="仿宋"/>
          <w:color w:val="000000"/>
          <w:kern w:val="2"/>
          <w:sz w:val="32"/>
          <w:szCs w:val="32"/>
          <w:lang w:val="en-US" w:eastAsia="zh-CN"/>
        </w:rPr>
      </w:pPr>
      <w:r>
        <w:rPr>
          <w:rFonts w:ascii="Times New Roman" w:hAnsi="Times New Roman" w:eastAsia="方正仿宋_GBK" w:cs="Times New Roman"/>
          <w:b w:val="0"/>
          <w:i w:val="0"/>
          <w:spacing w:val="0"/>
          <w:kern w:val="2"/>
          <w:sz w:val="32"/>
          <w:szCs w:val="32"/>
          <w:lang w:val="en-US" w:eastAsia="zh-CN"/>
        </w:rPr>
        <w:t>2</w:t>
      </w:r>
      <w:r>
        <w:rPr>
          <w:rFonts w:hint="eastAsia" w:ascii="Times New Roman" w:hAnsi="Times New Roman" w:eastAsia="方正仿宋_GBK" w:cs="Times New Roman"/>
          <w:b w:val="0"/>
          <w:i w:val="0"/>
          <w:spacing w:val="0"/>
          <w:kern w:val="2"/>
          <w:sz w:val="32"/>
          <w:szCs w:val="32"/>
          <w:lang w:val="en-US" w:eastAsia="zh-CN"/>
        </w:rPr>
        <w:t>1</w:t>
      </w:r>
      <w:r>
        <w:rPr>
          <w:rFonts w:ascii="Times New Roman" w:hAnsi="Times New Roman" w:eastAsia="方正仿宋_GBK" w:cs="Times New Roman"/>
          <w:b w:val="0"/>
          <w:i w:val="0"/>
          <w:spacing w:val="0"/>
          <w:kern w:val="2"/>
          <w:sz w:val="32"/>
          <w:szCs w:val="32"/>
          <w:lang w:val="en-US" w:eastAsia="zh-CN"/>
        </w:rPr>
        <w:t>.</w:t>
      </w:r>
      <w:r>
        <w:rPr>
          <w:rFonts w:hint="eastAsia" w:ascii="Times New Roman" w:hAnsi="Times New Roman" w:eastAsia="方正仿宋_GBK" w:cs="方正仿宋_GBK"/>
          <w:b w:val="0"/>
          <w:i w:val="0"/>
          <w:color w:val="000000"/>
          <w:spacing w:val="0"/>
          <w:kern w:val="2"/>
          <w:sz w:val="32"/>
          <w:szCs w:val="32"/>
          <w:lang w:val="en-US" w:eastAsia="zh-CN"/>
        </w:rPr>
        <w:t>住房保障支出（类）住房改革支出（款）住房公积金（项）</w:t>
      </w:r>
      <w:r>
        <w:rPr>
          <w:rFonts w:hint="eastAsia" w:ascii="Times New Roman" w:hAnsi="Times New Roman" w:eastAsia="方正仿宋_GBK" w:cs="方正仿宋_GBK"/>
          <w:b w:val="0"/>
          <w:i w:val="0"/>
          <w:spacing w:val="0"/>
          <w:kern w:val="2"/>
          <w:sz w:val="32"/>
          <w:szCs w:val="32"/>
          <w:lang w:val="en-US" w:eastAsia="zh-CN"/>
        </w:rPr>
        <w:t>：</w:t>
      </w:r>
      <w:r>
        <w:rPr>
          <w:rFonts w:ascii="Times New Roman" w:hAnsi="Times New Roman" w:eastAsia="方正仿宋_GBK" w:cs="仿宋"/>
          <w:color w:val="000000"/>
          <w:kern w:val="2"/>
          <w:sz w:val="32"/>
          <w:szCs w:val="32"/>
          <w:lang w:val="en-US" w:eastAsia="zh-CN"/>
        </w:rPr>
        <w:t xml:space="preserve"> 反映行政事业单位按人力资源和社会保障部、财政部规定的基本工资和津贴补贴以及规定比例为职工缴纳的住房公积金。</w:t>
      </w:r>
    </w:p>
    <w:p w14:paraId="32852160">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ascii="Times New Roman" w:hAnsi="Times New Roman" w:eastAsia="方正仿宋_GBK"/>
        </w:rPr>
      </w:pPr>
      <w:r>
        <w:rPr>
          <w:rFonts w:hint="eastAsia" w:ascii="Times New Roman" w:hAnsi="Times New Roman" w:eastAsia="方正仿宋_GBK" w:cs="仿宋_GB2312"/>
          <w:kern w:val="2"/>
          <w:sz w:val="32"/>
          <w:szCs w:val="32"/>
          <w:lang w:val="en-US" w:eastAsia="zh-CN"/>
        </w:rPr>
        <w:t>22.其他</w:t>
      </w:r>
      <w:r>
        <w:rPr>
          <w:rFonts w:ascii="Times New Roman" w:hAnsi="Times New Roman" w:eastAsia="方正仿宋_GBK" w:cs="仿宋_GB2312"/>
          <w:kern w:val="2"/>
          <w:sz w:val="32"/>
          <w:szCs w:val="32"/>
          <w:lang w:val="en-US" w:eastAsia="zh-CN"/>
        </w:rPr>
        <w:t>（类）</w:t>
      </w:r>
      <w:r>
        <w:rPr>
          <w:rFonts w:hint="eastAsia" w:ascii="Times New Roman" w:hAnsi="Times New Roman" w:eastAsia="方正仿宋_GBK" w:cs="仿宋_GB2312"/>
          <w:kern w:val="2"/>
          <w:sz w:val="32"/>
          <w:szCs w:val="32"/>
          <w:lang w:val="en-US" w:eastAsia="zh-CN"/>
        </w:rPr>
        <w:t>其他支出</w:t>
      </w:r>
      <w:r>
        <w:rPr>
          <w:rFonts w:ascii="Times New Roman" w:hAnsi="Times New Roman" w:eastAsia="方正仿宋_GBK" w:cs="仿宋_GB2312"/>
          <w:kern w:val="2"/>
          <w:sz w:val="32"/>
          <w:szCs w:val="32"/>
          <w:lang w:val="en-US" w:eastAsia="zh-CN"/>
        </w:rPr>
        <w:t>（款）</w:t>
      </w:r>
      <w:r>
        <w:rPr>
          <w:rFonts w:hint="eastAsia" w:ascii="Times New Roman" w:hAnsi="Times New Roman" w:eastAsia="方正仿宋_GBK" w:cs="仿宋_GB2312"/>
          <w:kern w:val="2"/>
          <w:sz w:val="32"/>
          <w:szCs w:val="32"/>
          <w:lang w:val="en-US" w:eastAsia="zh-CN"/>
        </w:rPr>
        <w:t>其他</w:t>
      </w:r>
      <w:r>
        <w:rPr>
          <w:rFonts w:ascii="Times New Roman" w:hAnsi="Times New Roman" w:eastAsia="方正仿宋_GBK" w:cs="仿宋_GB2312"/>
          <w:kern w:val="2"/>
          <w:sz w:val="32"/>
          <w:szCs w:val="32"/>
          <w:lang w:val="en-US" w:eastAsia="zh-CN"/>
        </w:rPr>
        <w:t>支出（项）：</w:t>
      </w:r>
      <w:r>
        <w:rPr>
          <w:rFonts w:hint="eastAsia" w:ascii="Times New Roman" w:hAnsi="Times New Roman" w:eastAsia="方正仿宋_GBK" w:cs="仿宋_GB2312"/>
          <w:kern w:val="2"/>
          <w:sz w:val="32"/>
          <w:szCs w:val="32"/>
          <w:lang w:val="en-US" w:eastAsia="zh-CN"/>
        </w:rPr>
        <w:t>指其他不能划分到具体功能科目中的支出。</w:t>
      </w:r>
    </w:p>
    <w:p w14:paraId="11923875">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23.基本支出：指为保障机构正常运转、完成日常工作任务而发生的人员支出和公用支出。</w:t>
      </w:r>
    </w:p>
    <w:p w14:paraId="108D4027">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 xml:space="preserve">24.项目支出：指在基本支出之外为完成特定行政任务和事业发展目标所发生的支出。 </w:t>
      </w:r>
    </w:p>
    <w:p w14:paraId="36A1EFAF">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25.经营支出：指事业单位在专业业务活动及其辅助活动之外开展非独立核算经营活动发生的支出。</w:t>
      </w:r>
    </w:p>
    <w:p w14:paraId="367DE8F2">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54972D3">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方正仿宋_GBK" w:cs="仿宋_GB2312"/>
          <w:color w:val="auto"/>
          <w:kern w:val="2"/>
          <w:sz w:val="32"/>
          <w:szCs w:val="32"/>
          <w:highlight w:val="none"/>
          <w:lang w:val="en-US" w:eastAsia="zh-CN" w:bidi="ar-SA"/>
        </w:rPr>
        <w:t>27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33C6A85">
      <w:pPr>
        <w:spacing w:line="600" w:lineRule="exact"/>
        <w:jc w:val="center"/>
        <w:rPr>
          <w:rFonts w:hint="eastAsia" w:ascii="Times New Roman" w:hAnsi="Times New Roman" w:eastAsia="黑体"/>
          <w:color w:val="auto"/>
          <w:sz w:val="44"/>
          <w:szCs w:val="44"/>
          <w:highlight w:val="none"/>
        </w:rPr>
      </w:pPr>
      <w:bookmarkStart w:id="58" w:name="_Toc15396614"/>
      <w:bookmarkStart w:id="59" w:name="_Toc15377226"/>
    </w:p>
    <w:p w14:paraId="11C88447">
      <w:pPr>
        <w:spacing w:line="600" w:lineRule="exact"/>
        <w:jc w:val="center"/>
        <w:rPr>
          <w:rFonts w:hint="eastAsia" w:ascii="Times New Roman" w:hAnsi="Times New Roman" w:eastAsia="黑体"/>
          <w:color w:val="auto"/>
          <w:sz w:val="44"/>
          <w:szCs w:val="44"/>
          <w:highlight w:val="none"/>
        </w:rPr>
      </w:pPr>
    </w:p>
    <w:p w14:paraId="7764DF8D">
      <w:pPr>
        <w:spacing w:line="600" w:lineRule="exact"/>
        <w:jc w:val="center"/>
        <w:rPr>
          <w:rFonts w:hint="eastAsia" w:ascii="Times New Roman" w:hAnsi="Times New Roman" w:eastAsia="黑体"/>
          <w:color w:val="auto"/>
          <w:sz w:val="44"/>
          <w:szCs w:val="44"/>
          <w:highlight w:val="none"/>
        </w:rPr>
      </w:pPr>
    </w:p>
    <w:p w14:paraId="060D77C2">
      <w:pPr>
        <w:spacing w:line="600" w:lineRule="exact"/>
        <w:jc w:val="center"/>
        <w:rPr>
          <w:rFonts w:hint="eastAsia" w:ascii="Times New Roman" w:hAnsi="Times New Roman" w:eastAsia="黑体"/>
          <w:color w:val="auto"/>
          <w:sz w:val="44"/>
          <w:szCs w:val="44"/>
          <w:highlight w:val="none"/>
        </w:rPr>
      </w:pPr>
    </w:p>
    <w:p w14:paraId="1CB2ED1A">
      <w:pPr>
        <w:spacing w:line="600" w:lineRule="exact"/>
        <w:jc w:val="center"/>
        <w:rPr>
          <w:rFonts w:hint="eastAsia" w:ascii="Times New Roman" w:hAnsi="Times New Roman" w:eastAsia="黑体"/>
          <w:color w:val="auto"/>
          <w:sz w:val="44"/>
          <w:szCs w:val="44"/>
          <w:highlight w:val="none"/>
        </w:rPr>
      </w:pPr>
    </w:p>
    <w:p w14:paraId="61A4EBDB">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rPr>
      </w:pPr>
    </w:p>
    <w:p w14:paraId="5F7D8499">
      <w:pPr>
        <w:rPr>
          <w:rFonts w:hint="eastAsia" w:ascii="Times New Roman" w:hAnsi="Times New Roman" w:eastAsia="方正小标宋简体" w:cs="方正小标宋简体"/>
          <w:b w:val="0"/>
          <w:color w:val="auto"/>
          <w:highlight w:val="none"/>
          <w:lang w:val="en-US" w:eastAsia="zh-CN"/>
        </w:rPr>
        <w:sectPr>
          <w:footerReference r:id="rId7" w:type="default"/>
          <w:pgSz w:w="11906" w:h="16838"/>
          <w:pgMar w:top="2098" w:right="1474" w:bottom="1984" w:left="1587" w:header="851" w:footer="1417" w:gutter="0"/>
          <w:cols w:space="720" w:num="1"/>
          <w:rtlGutter w:val="1"/>
          <w:docGrid w:type="lines" w:linePitch="440" w:charSpace="0"/>
        </w:sectPr>
      </w:pPr>
      <w:r>
        <w:rPr>
          <w:rFonts w:hint="eastAsia" w:ascii="Times New Roman" w:hAnsi="Times New Roman" w:eastAsia="方正小标宋简体" w:cs="方正小标宋简体"/>
          <w:b w:val="0"/>
          <w:color w:val="auto"/>
          <w:highlight w:val="none"/>
          <w:lang w:val="en-US" w:eastAsia="zh-CN"/>
        </w:rPr>
        <w:br w:type="page"/>
      </w:r>
    </w:p>
    <w:p w14:paraId="3AFD0E9E">
      <w:pPr>
        <w:pStyle w:val="2"/>
        <w:rPr>
          <w:rFonts w:hint="eastAsia"/>
          <w:lang w:val="en-US" w:eastAsia="zh-CN"/>
        </w:rPr>
      </w:pPr>
    </w:p>
    <w:bookmarkEnd w:id="58"/>
    <w:p w14:paraId="75E68DDC">
      <w:pPr>
        <w:spacing w:line="600" w:lineRule="exact"/>
        <w:jc w:val="center"/>
        <w:outlineLvl w:val="0"/>
        <w:rPr>
          <w:rStyle w:val="20"/>
          <w:rFonts w:ascii="黑体" w:eastAsia="黑体"/>
          <w:b w:val="0"/>
          <w:color w:val="auto"/>
          <w:highlight w:val="none"/>
        </w:rPr>
      </w:pPr>
      <w:r>
        <w:rPr>
          <w:rFonts w:hint="eastAsia" w:ascii="黑体" w:eastAsia="黑体"/>
          <w:color w:val="auto"/>
          <w:sz w:val="44"/>
          <w:szCs w:val="44"/>
          <w:highlight w:val="none"/>
        </w:rPr>
        <w:t>第</w:t>
      </w:r>
      <w:r>
        <w:rPr>
          <w:rStyle w:val="20"/>
          <w:rFonts w:hint="eastAsia" w:ascii="黑体" w:eastAsia="黑体"/>
          <w:b w:val="0"/>
          <w:color w:val="auto"/>
          <w:highlight w:val="none"/>
        </w:rPr>
        <w:t>四部分 附件</w:t>
      </w:r>
    </w:p>
    <w:p w14:paraId="2114FB77">
      <w:pPr>
        <w:keepNext w:val="0"/>
        <w:keepLines w:val="0"/>
        <w:widowControl w:val="0"/>
        <w:suppressLineNumbers w:val="0"/>
        <w:autoSpaceDE w:val="0"/>
        <w:autoSpaceDN/>
        <w:spacing w:before="0" w:beforeAutospacing="0" w:after="0" w:afterAutospacing="0" w:line="578" w:lineRule="exact"/>
        <w:ind w:left="0" w:right="0"/>
        <w:jc w:val="left"/>
        <w:rPr>
          <w:rFonts w:ascii="Times New Roman" w:hAnsi="Times New Roman" w:eastAsia="方正小标宋简体" w:cs="Times New Roman"/>
          <w:color w:val="000000"/>
          <w:kern w:val="0"/>
          <w:sz w:val="44"/>
          <w:szCs w:val="44"/>
          <w:lang w:val="en-US" w:eastAsia="zh-CN"/>
        </w:rPr>
      </w:pPr>
      <w:r>
        <w:rPr>
          <w:rFonts w:ascii="Times New Roman" w:hAnsi="Times New Roman" w:eastAsia="方正小标宋简体" w:cs="Times New Roman"/>
          <w:color w:val="000000"/>
          <w:kern w:val="0"/>
          <w:sz w:val="44"/>
          <w:szCs w:val="44"/>
          <w:lang w:val="en-US" w:eastAsia="zh-CN"/>
        </w:rPr>
        <w:t xml:space="preserve"> </w:t>
      </w:r>
    </w:p>
    <w:tbl>
      <w:tblPr>
        <w:tblStyle w:val="16"/>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1577"/>
        <w:gridCol w:w="1755"/>
        <w:gridCol w:w="2246"/>
        <w:gridCol w:w="522"/>
        <w:gridCol w:w="1191"/>
        <w:gridCol w:w="612"/>
        <w:gridCol w:w="1087"/>
        <w:gridCol w:w="513"/>
        <w:gridCol w:w="563"/>
        <w:gridCol w:w="2127"/>
      </w:tblGrid>
      <w:tr w14:paraId="0F04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92F9">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36A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C92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14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51190025T000013171119-2025年年初部门预算特定目标类项目203001市委宣传部外宣工作经费</w:t>
            </w:r>
          </w:p>
        </w:tc>
      </w:tr>
      <w:tr w14:paraId="51170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90B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A51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71DD0CC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53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8478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FE9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5D0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6E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F4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49EC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B9B4"/>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44E1"/>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4EB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人民日报、中央电视台、光明日报、经济日报、四川日报等中央省级主流媒体平台推出展示巴中高质量发展、文旅康养首位产业发展、百姓幸福生活的重头作品，讲好巴中故事，展示好巴中形象，为一市四地三区建设提供强在精神力量。在海外社交平台（推特、脸谱、优兔）等开通巴中账号，与新加坡等地华文媒体合作，常态推出巴中城市底蕴、文化内涵、风土人情、风景名胜等视频、图文产品，完成省委目标考核任务，扩大巴中国际传播影响力</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A6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人民日报、中央电视台、光明日报、经济日报、四川日报等中央省级主流媒体平台推出展示巴中高质量发展、文旅康养首位产业发展、百姓幸福生活的重头作品，讲好巴中故事，展示好巴中形象，为一市四地三区建设提供强在精神力量。在海外社交平台（推特、脸谱、优兔）等开通巴中账号，与新加坡等地华文媒体合作，常态推出巴中城市底蕴、文化内涵、风土人情、风景名胜等视频、图文产品，完成省委目标考核任务，扩大巴中国际传播影响力。</w:t>
            </w:r>
          </w:p>
        </w:tc>
      </w:tr>
      <w:tr w14:paraId="5B33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94B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FAD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C7C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第十二届巴人文化艺术节、中华龙舟赛等重大会议活动策划35个，特别是清明节期间，《新华每日电讯》头版头条以8000余字整版刊发《清明寻访江山石》，报道川陕革命根据地历史与奋斗历程，实现历史性突破。深度参与首届全国青少年科普视听大会、全国摄影工作会、中华龙舟大赛（巴中恩阳站）、第十二届巴人文化艺术节、2025TAT亚洲篮球巡回锦标赛、首届肉牛全产业链高质量发展会等重大活动的宣传策划与执行。科普视听大会期间，统筹47家中省主流媒体推出190篇报道，全网浏览量达7.3亿。中华龙舟大赛直播时长4小时，单场观看量突破800万，赛事总曝光量超10亿人次，微博话题阅读量过亿并登上热搜。光雾山红叶期间，宣传吸引全球百余家海外媒体报道，全网触达超2亿人次。</w:t>
            </w:r>
          </w:p>
        </w:tc>
      </w:tr>
      <w:tr w14:paraId="452D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26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B0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DD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AA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C0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7A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83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C4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D7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F8DB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5B7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55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EB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51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52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4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C1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53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DCD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2697C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770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1A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DE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55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9D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229.70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4B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AA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41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6AFA"/>
        </w:tc>
      </w:tr>
      <w:tr w14:paraId="6939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1CEB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E9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3F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EC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80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77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3B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BF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1B26"/>
        </w:tc>
      </w:tr>
      <w:tr w14:paraId="1758C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6D5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57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A7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74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13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21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C9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C4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7A6D"/>
        </w:tc>
      </w:tr>
      <w:tr w14:paraId="38FA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C6C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12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A545">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F900">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FC7F">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9255">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7F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C1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BD69B"/>
        </w:tc>
      </w:tr>
      <w:tr w14:paraId="4257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FD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81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D6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2FB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D6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21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84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8C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78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87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34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B98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2414"/>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06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AE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02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四川日报12期巴中专刊</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A5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76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00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DC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D1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39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B685">
            <w:pPr>
              <w:jc w:val="center"/>
              <w:rPr>
                <w:rFonts w:hint="eastAsia" w:ascii="宋体" w:eastAsia="宋体" w:cs="宋体"/>
                <w:i w:val="0"/>
                <w:iCs w:val="0"/>
                <w:color w:val="000000"/>
                <w:sz w:val="20"/>
                <w:szCs w:val="20"/>
                <w:u w:val="none"/>
              </w:rPr>
            </w:pPr>
          </w:p>
        </w:tc>
      </w:tr>
      <w:tr w14:paraId="3681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6C49"/>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8CC6"/>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0592"/>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3A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中央、省级刊发巴中重头稿件、市委领导署名文章</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BD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69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DC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3F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0F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E9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B544">
            <w:pPr>
              <w:jc w:val="center"/>
              <w:rPr>
                <w:rFonts w:hint="eastAsia" w:ascii="宋体" w:eastAsia="宋体" w:cs="宋体"/>
                <w:i w:val="0"/>
                <w:iCs w:val="0"/>
                <w:color w:val="000000"/>
                <w:sz w:val="20"/>
                <w:szCs w:val="20"/>
                <w:u w:val="none"/>
              </w:rPr>
            </w:pPr>
          </w:p>
        </w:tc>
      </w:tr>
      <w:tr w14:paraId="78A4A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785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36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E9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39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提振干部群众干事创业的信心决心</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10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8D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247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483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60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11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EED0">
            <w:pPr>
              <w:jc w:val="center"/>
              <w:rPr>
                <w:rFonts w:hint="eastAsia" w:ascii="宋体" w:eastAsia="宋体" w:cs="宋体"/>
                <w:i w:val="0"/>
                <w:iCs w:val="0"/>
                <w:color w:val="000000"/>
                <w:sz w:val="20"/>
                <w:szCs w:val="20"/>
                <w:u w:val="none"/>
              </w:rPr>
            </w:pPr>
          </w:p>
        </w:tc>
      </w:tr>
      <w:tr w14:paraId="4903B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94D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EF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0B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F8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F70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E4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ACD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45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DC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2F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CAF7">
            <w:pPr>
              <w:jc w:val="center"/>
              <w:rPr>
                <w:rFonts w:hint="eastAsia" w:ascii="宋体" w:eastAsia="宋体" w:cs="宋体"/>
                <w:i w:val="0"/>
                <w:iCs w:val="0"/>
                <w:color w:val="000000"/>
                <w:sz w:val="20"/>
                <w:szCs w:val="20"/>
                <w:u w:val="none"/>
              </w:rPr>
            </w:pPr>
          </w:p>
        </w:tc>
      </w:tr>
      <w:tr w14:paraId="0294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474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7D5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81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71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0F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42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5A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B1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88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BB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C6E2">
            <w:pPr>
              <w:jc w:val="center"/>
              <w:rPr>
                <w:rFonts w:hint="eastAsia" w:ascii="宋体" w:eastAsia="宋体" w:cs="宋体"/>
                <w:i w:val="0"/>
                <w:iCs w:val="0"/>
                <w:color w:val="000000"/>
                <w:sz w:val="20"/>
                <w:szCs w:val="20"/>
                <w:u w:val="none"/>
              </w:rPr>
            </w:pPr>
          </w:p>
        </w:tc>
      </w:tr>
      <w:tr w14:paraId="773B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D3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AF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F800">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BC4F">
            <w:pPr>
              <w:rPr>
                <w:rFonts w:hint="eastAsia" w:ascii="宋体" w:eastAsia="宋体" w:cs="宋体"/>
                <w:i w:val="0"/>
                <w:iCs w:val="0"/>
                <w:color w:val="000000"/>
                <w:sz w:val="20"/>
                <w:szCs w:val="20"/>
                <w:u w:val="none"/>
              </w:rPr>
            </w:pPr>
          </w:p>
        </w:tc>
      </w:tr>
      <w:tr w14:paraId="1FC3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9F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FF3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宣传推介巴中，主动对接各类媒体，差别喂料、分众服务，专人配合人民日报、新华社、央视拍摄图片、视频，组织活动配合网络直播，扩大了中央、省、市级主流媒体宣传中的老区声量。全市在中央、省级主流媒体刊发稿件7524篇（条）。其中，人民日报用稿62条（含人民日报客户端）；新华社用稿32条（含新华社客户端）；人民网用稿261条，新华网用稿37条；央视用稿182条，其中《新闻联播》13条；四川日报用稿145条；四川电视台用稿678条，其中《四川新闻联播》107条。</w:t>
            </w:r>
          </w:p>
        </w:tc>
      </w:tr>
      <w:tr w14:paraId="3C67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0B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574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B920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87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D5E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D03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78D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86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190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FDF6">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BAB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A93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C4A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51190024T000010097907-2023年第七届全国文明城市创建工作经</w:t>
            </w:r>
          </w:p>
        </w:tc>
      </w:tr>
      <w:tr w14:paraId="35DA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71C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BF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1CB3920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5A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867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B32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F70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B2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EC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严格按照中央文明办创新改进精神文明创建工作要求，对照《全国文明城市测评指标及要求（2023年版）》《全国未成年人思想道德建设工作测评指标及要求（2023年版）》推进年度重点工作，扎实开展督查督导、宣传引导、点位提升、实践活动和资料完善等工作，较好完成年度目标任务，持续巩固提升文明城市创建成果。</w:t>
            </w:r>
          </w:p>
        </w:tc>
      </w:tr>
      <w:tr w14:paraId="6998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C61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5DA2"/>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CB1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市创文指挥部2025年度工作安排部署和《全国文明城市测评体系》《全国未成年人思想道德建设工作测评体系》指标任务要求，严格按照中央文明办创新改进精神文明创建工作要求，对照《全国文明城市测评指标及要求（2023年版）》《全国未成年人思想道德建设工作测评指标及要求（2023年版）》狠抓工作落实，全面完成迎检测评工作任务，持续巩固提升创建成果。</w:t>
            </w:r>
          </w:p>
        </w:tc>
        <w:tc>
          <w:tcPr>
            <w:tcW w:w="42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E8CE"/>
        </w:tc>
      </w:tr>
      <w:tr w14:paraId="6BF01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F93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383D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31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对标《全国文明城市测评体系》《全国未成年人思想道德建设工作测评体系》要求，严格按预算和程序组织实施，围绕宣传、实地、网报、综合等板块，按照年度迎检任务和时间进度狠抓落实，保障项目实施科学、精准、节约、高效。全年持续推动三区和市级部门查漏补缺，常态开展主次干道、社区小区、窗口单位、学校周边等重点区域督导检查，组织开展文明实践、创文宣传、知识竞赛和主题活动，完善网报资料和宣传载体，推动创建工作常态长效。</w:t>
            </w:r>
          </w:p>
        </w:tc>
      </w:tr>
      <w:tr w14:paraId="5386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D1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16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91C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4F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C5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D6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CD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20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85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EB5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764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A8F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C8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24.06</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6D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C0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A9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9A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D8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C6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27E0D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F7B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D8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79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24.06</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E7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EA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4D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32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D04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391A"/>
        </w:tc>
      </w:tr>
      <w:tr w14:paraId="15779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EC1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DBD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A8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5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8C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5C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23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AF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57BF"/>
        </w:tc>
      </w:tr>
      <w:tr w14:paraId="5580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7A4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10A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32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33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78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E7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F5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45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2143"/>
        </w:tc>
      </w:tr>
      <w:tr w14:paraId="3640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0C2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3B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A732">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0560">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B1B5">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45FB">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02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42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AFC8"/>
        </w:tc>
      </w:tr>
      <w:tr w14:paraId="43240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D2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EF6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41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24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FF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1DE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F7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5D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71A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B9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42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793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E0CD"/>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EE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7D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00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督查督导，扎实有效推动三区及市级各部门全国文明城市创建工作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57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BDA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D7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03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220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93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80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A532">
            <w:pPr>
              <w:jc w:val="center"/>
              <w:rPr>
                <w:rFonts w:hint="eastAsia" w:ascii="宋体" w:eastAsia="宋体" w:cs="宋体"/>
                <w:i w:val="0"/>
                <w:iCs w:val="0"/>
                <w:color w:val="000000"/>
                <w:sz w:val="20"/>
                <w:szCs w:val="20"/>
                <w:u w:val="none"/>
              </w:rPr>
            </w:pPr>
          </w:p>
        </w:tc>
      </w:tr>
      <w:tr w14:paraId="2D746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E7C8"/>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D8C4"/>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813F"/>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FF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开展群众性满意度提升相关活动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F0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2E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02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E3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A5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78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2ADA">
            <w:pPr>
              <w:jc w:val="center"/>
              <w:rPr>
                <w:rFonts w:hint="eastAsia" w:ascii="宋体" w:eastAsia="宋体" w:cs="宋体"/>
                <w:i w:val="0"/>
                <w:iCs w:val="0"/>
                <w:color w:val="000000"/>
                <w:sz w:val="20"/>
                <w:szCs w:val="20"/>
                <w:u w:val="none"/>
              </w:rPr>
            </w:pPr>
          </w:p>
        </w:tc>
      </w:tr>
      <w:tr w14:paraId="50B5E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B7D7"/>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47D8"/>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71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DD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完成《全国文明城市测评体系》《全国未成年人思想道德建设工作测评体系》《全国文明城镇测评体系》指标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80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BE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07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8E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9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E2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1D98">
            <w:pPr>
              <w:jc w:val="center"/>
              <w:rPr>
                <w:rFonts w:hint="eastAsia" w:ascii="宋体" w:eastAsia="宋体" w:cs="宋体"/>
                <w:i w:val="0"/>
                <w:iCs w:val="0"/>
                <w:color w:val="000000"/>
                <w:sz w:val="20"/>
                <w:szCs w:val="20"/>
                <w:u w:val="none"/>
              </w:rPr>
            </w:pPr>
          </w:p>
        </w:tc>
      </w:tr>
      <w:tr w14:paraId="28D5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E72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DA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3B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FD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提高巴中知名度、美誉度和影响力</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97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FF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80C82">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BA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A2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02E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5069">
            <w:pPr>
              <w:jc w:val="center"/>
              <w:rPr>
                <w:rFonts w:hint="eastAsia" w:ascii="宋体" w:eastAsia="宋体" w:cs="宋体"/>
                <w:i w:val="0"/>
                <w:iCs w:val="0"/>
                <w:color w:val="000000"/>
                <w:sz w:val="20"/>
                <w:szCs w:val="20"/>
                <w:u w:val="none"/>
              </w:rPr>
            </w:pPr>
          </w:p>
        </w:tc>
      </w:tr>
      <w:tr w14:paraId="400C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1AA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12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BB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D6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E5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6B5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2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A6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530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47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2EEB">
            <w:pPr>
              <w:jc w:val="center"/>
              <w:rPr>
                <w:rFonts w:hint="eastAsia" w:ascii="宋体" w:eastAsia="宋体" w:cs="宋体"/>
                <w:i w:val="0"/>
                <w:iCs w:val="0"/>
                <w:color w:val="000000"/>
                <w:sz w:val="20"/>
                <w:szCs w:val="20"/>
                <w:u w:val="none"/>
              </w:rPr>
            </w:pPr>
          </w:p>
        </w:tc>
      </w:tr>
      <w:tr w14:paraId="1115F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4DE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4D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2B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75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79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A3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49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21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1213600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94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74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6232">
            <w:pPr>
              <w:jc w:val="center"/>
              <w:rPr>
                <w:rFonts w:hint="eastAsia" w:ascii="宋体" w:eastAsia="宋体" w:cs="宋体"/>
                <w:i w:val="0"/>
                <w:iCs w:val="0"/>
                <w:color w:val="000000"/>
                <w:sz w:val="20"/>
                <w:szCs w:val="20"/>
                <w:u w:val="none"/>
              </w:rPr>
            </w:pPr>
          </w:p>
        </w:tc>
      </w:tr>
      <w:tr w14:paraId="2C3E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45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CE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F08F">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0FF2">
            <w:pPr>
              <w:rPr>
                <w:rFonts w:hint="eastAsia" w:ascii="宋体" w:eastAsia="宋体" w:cs="宋体"/>
                <w:i w:val="0"/>
                <w:iCs w:val="0"/>
                <w:color w:val="000000"/>
                <w:sz w:val="20"/>
                <w:szCs w:val="20"/>
                <w:u w:val="none"/>
              </w:rPr>
            </w:pPr>
          </w:p>
        </w:tc>
      </w:tr>
      <w:tr w14:paraId="7E9A3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18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6E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自评，项目预算执行率达到100%，绩效目标总体完成情况良好，自评总分100分。2025年度创建项目实施较为科学、精准、节约、高效，较好保障了全国文明城市创建年度重点任务推进。通过持续抓好实地点位整治提升、网报资料完善、常态宣传引导、文明实践活动和督查督导等工作，有效提升了城市文明程度、市民文明素养和社会文明风尚，为巩固提升全国文明城市创建成果提供了有力保障。</w:t>
            </w:r>
          </w:p>
        </w:tc>
      </w:tr>
      <w:tr w14:paraId="53EC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3A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BBC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3E5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99C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903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FDDD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E5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项目负责人：何海江</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2EC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FF50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D2AB">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9358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13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17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51190025T000013169680-2025年年初部门预算特定目标类项目203001市委宣传部门户网站网络安全维护经费</w:t>
            </w:r>
          </w:p>
        </w:tc>
      </w:tr>
      <w:tr w14:paraId="3AF45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F17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14F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633C8B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5E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D0C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AA0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5BC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21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772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C3AA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7A97"/>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2085"/>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B0D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对官方网站代码、数据库、服务器、页面框架结构等进行日常维护，确保官方网站安全、规范。</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31B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常态开展日常维护，官方网站有序运行，全年未发生网络安全事故，未出现错误表述等。</w:t>
            </w:r>
          </w:p>
        </w:tc>
      </w:tr>
      <w:tr w14:paraId="6826C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77D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202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7E8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项目围绕门户网站网络安全维护开展，主要实施内容包括：定期开展网站漏洞扫描与修复、病毒及恶意代码查杀，保障服务器及数据库安全；搭建安全监测预警机制，实时监控网站运行状态；开展运维人员安全培训，提升实操能力；规范安全管理制度，完善应急处置预案，确保网络安全维护工作有序推进，全面保障门户网站安全稳定。</w:t>
            </w:r>
          </w:p>
        </w:tc>
      </w:tr>
      <w:tr w14:paraId="3E0F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34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67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B0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47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C6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E0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36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2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47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1FEC4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D0A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25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10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D7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21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FC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76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0C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20E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ADC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D7A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93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BE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A0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5B7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F0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4C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1D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B3B5"/>
        </w:tc>
      </w:tr>
      <w:tr w14:paraId="7A92B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0F8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47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56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68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40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2E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6D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4C8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4A54"/>
        </w:tc>
      </w:tr>
      <w:tr w14:paraId="5AE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807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DD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CF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C7B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2D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F1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AA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59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8498"/>
        </w:tc>
      </w:tr>
      <w:tr w14:paraId="566A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649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3C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A8BC">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330D">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D90E">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3408">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51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E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756A"/>
        </w:tc>
      </w:tr>
      <w:tr w14:paraId="20BD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98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AF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A5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9C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6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09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4A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1E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48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2E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63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CD3C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4209"/>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E4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F8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ED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服务器漏洞发生次数</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AC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16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422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C4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8D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D1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F610">
            <w:pPr>
              <w:jc w:val="center"/>
              <w:rPr>
                <w:rFonts w:hint="eastAsia" w:ascii="宋体" w:eastAsia="宋体" w:cs="宋体"/>
                <w:i w:val="0"/>
                <w:iCs w:val="0"/>
                <w:color w:val="000000"/>
                <w:sz w:val="20"/>
                <w:szCs w:val="20"/>
                <w:u w:val="none"/>
              </w:rPr>
            </w:pPr>
          </w:p>
        </w:tc>
      </w:tr>
      <w:tr w14:paraId="0B1D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3B2C"/>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59B4"/>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C325"/>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1F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网站运行故障发生次数</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63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D3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B4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B2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1C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E6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A0C5">
            <w:pPr>
              <w:jc w:val="center"/>
              <w:rPr>
                <w:rFonts w:hint="eastAsia" w:ascii="宋体" w:eastAsia="宋体" w:cs="宋体"/>
                <w:i w:val="0"/>
                <w:iCs w:val="0"/>
                <w:color w:val="000000"/>
                <w:sz w:val="20"/>
                <w:szCs w:val="20"/>
                <w:u w:val="none"/>
              </w:rPr>
            </w:pPr>
          </w:p>
        </w:tc>
      </w:tr>
      <w:tr w14:paraId="141D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AC4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00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4F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1F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信息公开群众满意度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C8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17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C43D">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15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1E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41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C4FF">
            <w:pPr>
              <w:jc w:val="center"/>
              <w:rPr>
                <w:rFonts w:hint="eastAsia" w:ascii="宋体" w:eastAsia="宋体" w:cs="宋体"/>
                <w:i w:val="0"/>
                <w:iCs w:val="0"/>
                <w:color w:val="000000"/>
                <w:sz w:val="20"/>
                <w:szCs w:val="20"/>
                <w:u w:val="none"/>
              </w:rPr>
            </w:pPr>
          </w:p>
        </w:tc>
      </w:tr>
      <w:tr w14:paraId="690B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473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CE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63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A2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18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3B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7DAF">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A7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5D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8F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8CAD">
            <w:pPr>
              <w:jc w:val="center"/>
              <w:rPr>
                <w:rFonts w:hint="eastAsia" w:ascii="宋体" w:eastAsia="宋体" w:cs="宋体"/>
                <w:i w:val="0"/>
                <w:iCs w:val="0"/>
                <w:color w:val="000000"/>
                <w:sz w:val="20"/>
                <w:szCs w:val="20"/>
                <w:u w:val="none"/>
              </w:rPr>
            </w:pPr>
          </w:p>
        </w:tc>
      </w:tr>
      <w:tr w14:paraId="3EDF3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92B8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D8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BF3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56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15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88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62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28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47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2E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E292">
            <w:pPr>
              <w:jc w:val="center"/>
              <w:rPr>
                <w:rFonts w:hint="eastAsia" w:ascii="宋体" w:eastAsia="宋体" w:cs="宋体"/>
                <w:i w:val="0"/>
                <w:iCs w:val="0"/>
                <w:color w:val="000000"/>
                <w:sz w:val="20"/>
                <w:szCs w:val="20"/>
                <w:u w:val="none"/>
              </w:rPr>
            </w:pPr>
          </w:p>
        </w:tc>
      </w:tr>
      <w:tr w14:paraId="150E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FC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D37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1DFD">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0F6F">
            <w:pPr>
              <w:rPr>
                <w:rFonts w:hint="eastAsia" w:ascii="宋体" w:eastAsia="宋体" w:cs="宋体"/>
                <w:i w:val="0"/>
                <w:iCs w:val="0"/>
                <w:color w:val="000000"/>
                <w:sz w:val="20"/>
                <w:szCs w:val="20"/>
                <w:u w:val="none"/>
              </w:rPr>
            </w:pPr>
          </w:p>
        </w:tc>
      </w:tr>
      <w:tr w14:paraId="5015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8B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04D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有效保障门户网站安全运维，完成漏洞扫描、病毒查杀、数据加密等核心工作，防范网络攻击、数据泄露等风险，保障网站7×24小时稳定运行。规范安全管理流程，提升运维人员专业能力，未发生重大网络安全事件，确保网站信息发布安全、访问顺畅，满足政务公开及公众服务需求。</w:t>
            </w:r>
          </w:p>
        </w:tc>
      </w:tr>
      <w:tr w14:paraId="6228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91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B21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安全技术升级投入不足，应对新型网络攻击的能力有待提升。</w:t>
            </w:r>
          </w:p>
        </w:tc>
      </w:tr>
      <w:tr w14:paraId="0F1B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13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870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加大技术升级投入，引入先进安全技术和工具，提升网站抗攻击能力。</w:t>
            </w:r>
          </w:p>
        </w:tc>
      </w:tr>
      <w:tr w14:paraId="694EE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96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项目负责人：杨海铭</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A71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BDF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078C">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D219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D4E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3CE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51190025T000013170007-2025年年初部门预算特定目标类项目203001市委宣传部全民国防教育经费</w:t>
            </w:r>
          </w:p>
        </w:tc>
      </w:tr>
      <w:tr w14:paraId="63EF0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D1F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0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50CF02E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E4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B02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179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B93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03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4A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A83E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06A8"/>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64E5"/>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3CF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泛开展群众性国防教育活动，组织举办大中小学国防知识普及活动，开展全民国防教育宣讲等活动加强舆论宣传引导，把全民国防教育融入重大主题宣传、形势政策宣传、成就宣传、典型宣传，提高全民国防教育宣传的吸引力和感染力。注重先进典型示范引领，开展“国防有我”系列先进典型宣传活动，营造全社会关心支持全民国防教育的浓厚氛围。</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BD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组织策划“全民国防教育月”系列活动，举办“大兵小将筑国防”四川省青少年国防教育巴中站海选活动，深入开展全民国防教育巡回宣讲活动、巴中市最美拥军人物”评选，发挥先进典型示范引领作用，在全社会营造关心国防、热爱国防、建设国防、保卫国防的浓厚氛围。</w:t>
            </w:r>
          </w:p>
        </w:tc>
      </w:tr>
      <w:tr w14:paraId="18164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0D3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730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536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成功举办“大兵小将筑国防”四川省青少年国防教育巴中站海选活动，精心策划“全民国防教育月”系列活动，深入开展“弘扬抗战精神 共筑国防长城”2025年巴中全民国防教育巡回宣讲活动10场次，引导干部群众更好铭记历史、缅怀先烈、珍爱和平、关心国防，有效推动全民国防教育入脑入心、见行见效。</w:t>
            </w:r>
          </w:p>
        </w:tc>
      </w:tr>
      <w:tr w14:paraId="4AE7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2A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3E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76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CF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DA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DD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9F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12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16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061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DC0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27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DA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3E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CB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AB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7F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22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DE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2D8D3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7818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57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E2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9E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9B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10.65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FC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EB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FF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FB8B"/>
        </w:tc>
      </w:tr>
      <w:tr w14:paraId="6B561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1E6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C2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23B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3E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A5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64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62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D4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4B0E"/>
        </w:tc>
      </w:tr>
      <w:tr w14:paraId="487C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99F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BE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20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E0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6B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BD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10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2B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3993"/>
        </w:tc>
      </w:tr>
      <w:tr w14:paraId="73585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21BB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A2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D71A">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7BBB">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CA8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88F8">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7F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08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F7AF"/>
        </w:tc>
      </w:tr>
      <w:tr w14:paraId="3AD2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16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F0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E3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6A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1D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7F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92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62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08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16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90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54D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103E"/>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EB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02E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23E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开展“全民国防教育日”等主题实践活动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2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B8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5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6D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3A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CD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1358">
            <w:pPr>
              <w:jc w:val="center"/>
              <w:rPr>
                <w:rFonts w:hint="eastAsia" w:ascii="宋体" w:eastAsia="宋体" w:cs="宋体"/>
                <w:i w:val="0"/>
                <w:iCs w:val="0"/>
                <w:color w:val="000000"/>
                <w:sz w:val="20"/>
                <w:szCs w:val="20"/>
                <w:u w:val="none"/>
              </w:rPr>
            </w:pPr>
          </w:p>
        </w:tc>
      </w:tr>
      <w:tr w14:paraId="17069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1643"/>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3FF52"/>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B392"/>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24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制作刊播全民国防教育宣传广告标语</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66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AC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84D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C7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09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F0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1A4D">
            <w:pPr>
              <w:jc w:val="center"/>
              <w:rPr>
                <w:rFonts w:hint="eastAsia" w:ascii="宋体" w:eastAsia="宋体" w:cs="宋体"/>
                <w:i w:val="0"/>
                <w:iCs w:val="0"/>
                <w:color w:val="000000"/>
                <w:sz w:val="20"/>
                <w:szCs w:val="20"/>
                <w:u w:val="none"/>
              </w:rPr>
            </w:pPr>
          </w:p>
        </w:tc>
      </w:tr>
      <w:tr w14:paraId="4F60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481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78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FA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A8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推动增强全民爱党爱国爱社会主义的深厚感情、居安思危的忧患意识</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F9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EC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9DD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CF7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DB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A6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C002">
            <w:pPr>
              <w:jc w:val="center"/>
              <w:rPr>
                <w:rFonts w:hint="eastAsia" w:ascii="宋体" w:eastAsia="宋体" w:cs="宋体"/>
                <w:i w:val="0"/>
                <w:iCs w:val="0"/>
                <w:color w:val="000000"/>
                <w:sz w:val="20"/>
                <w:szCs w:val="20"/>
                <w:u w:val="none"/>
              </w:rPr>
            </w:pPr>
          </w:p>
        </w:tc>
      </w:tr>
      <w:tr w14:paraId="2DC2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2AD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A1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E3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56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人民群众工作满意度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31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5D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2255">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5D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0F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14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0CB2">
            <w:pPr>
              <w:jc w:val="center"/>
              <w:rPr>
                <w:rFonts w:hint="eastAsia" w:ascii="宋体" w:eastAsia="宋体" w:cs="宋体"/>
                <w:i w:val="0"/>
                <w:iCs w:val="0"/>
                <w:color w:val="000000"/>
                <w:sz w:val="20"/>
                <w:szCs w:val="20"/>
                <w:u w:val="none"/>
              </w:rPr>
            </w:pPr>
          </w:p>
        </w:tc>
      </w:tr>
      <w:tr w14:paraId="5547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1E1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D2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2E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0B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07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84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4D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8D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CD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73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E62B">
            <w:pPr>
              <w:jc w:val="center"/>
              <w:rPr>
                <w:rFonts w:hint="eastAsia" w:ascii="宋体" w:eastAsia="宋体" w:cs="宋体"/>
                <w:i w:val="0"/>
                <w:iCs w:val="0"/>
                <w:color w:val="000000"/>
                <w:sz w:val="20"/>
                <w:szCs w:val="20"/>
                <w:u w:val="none"/>
              </w:rPr>
            </w:pPr>
          </w:p>
        </w:tc>
      </w:tr>
      <w:tr w14:paraId="6C7B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A2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48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5E0A3">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7C3D">
            <w:pPr>
              <w:rPr>
                <w:rFonts w:hint="eastAsia" w:ascii="宋体" w:eastAsia="宋体" w:cs="宋体"/>
                <w:i w:val="0"/>
                <w:iCs w:val="0"/>
                <w:color w:val="000000"/>
                <w:sz w:val="20"/>
                <w:szCs w:val="20"/>
                <w:u w:val="none"/>
              </w:rPr>
            </w:pPr>
          </w:p>
        </w:tc>
      </w:tr>
      <w:tr w14:paraId="6473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AC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DE1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进一步建立健全全民国防教育工作机制，联合市级相关部门，发挥全市全民国防教育宣讲团作用，深入开展全民国防教育系列实践活动，积极刊播刊载关于全民国防教育大型公益广告。</w:t>
            </w:r>
          </w:p>
        </w:tc>
      </w:tr>
      <w:tr w14:paraId="0384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ED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A5F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全民国防教育的形式和内容较为单一。</w:t>
            </w:r>
          </w:p>
        </w:tc>
      </w:tr>
      <w:tr w14:paraId="1FC8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58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E82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在重大时间节点，将全民国防教育活动有机结合文化科技卫生“三下乡”、“强国复兴有我”群众性主题教育活动，丰富活动内容，开展群众喜闻乐见的主题活动，营造良好社会氛围。</w:t>
            </w:r>
          </w:p>
        </w:tc>
      </w:tr>
      <w:tr w14:paraId="2E6B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B89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项目负责人：张京</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1B4E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3840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81A0">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5E78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568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CE5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51190025T000013170731-2025年年初部门预算特定目标类项目203001市委宣传部社会主义核心价值观教育经费</w:t>
            </w:r>
          </w:p>
        </w:tc>
      </w:tr>
      <w:tr w14:paraId="084D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D9E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B4E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59C512C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0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7A12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6A5A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DE1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5A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C7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59DD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38CD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77A6"/>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4D4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贯彻习近平新时代中国特色社会主义思想，全面落实中央和省委、市委重大决策部署，加强时政类政策宣传，广泛践行和弘扬社会主义核心价值观，加大典型培树宣传，推进《巴中市贯彻落实〈新时代爱国主义教育实施纲要〉举措》，落地落实，更好构筑中国精神、中国价值、中国力量。深入实施“一市四区三地”发展战略，高建设全国革命老区振兴发展示范市，开启全面建设社会主义现代化巴中新征程提供精神动力。</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F47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在全市范围内广泛践行和弘扬社会主义核心价值观，加强时政类、公益广告的刊播刊载工作，营造良好社会氛围。</w:t>
            </w:r>
          </w:p>
        </w:tc>
      </w:tr>
      <w:tr w14:paraId="1218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6B3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6BF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684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组织开展时政类、公益广告宣传20余次，组织开展文化科技卫生“三下乡”集中示范活动1次，广泛践行和弘扬社会主义核心价值观。</w:t>
            </w:r>
          </w:p>
        </w:tc>
      </w:tr>
      <w:tr w14:paraId="1BE2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1D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6E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AF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E0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E3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51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77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AB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156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16BF6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C76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C8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3A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03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20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40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5FD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DF5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DCE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67D2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073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2B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92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AC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27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4.18</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45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D8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FB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26AD"/>
        </w:tc>
      </w:tr>
      <w:tr w14:paraId="1F65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DEA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25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A0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41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41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B7C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AF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60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2819"/>
        </w:tc>
      </w:tr>
      <w:tr w14:paraId="0EF30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E06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93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72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94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58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9B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F1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7B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9DFF"/>
        </w:tc>
      </w:tr>
      <w:tr w14:paraId="6F5D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49B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E6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EC9C">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82A1">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136B">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47DF">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AB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31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10EE"/>
        </w:tc>
      </w:tr>
      <w:tr w14:paraId="2369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2D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3E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6C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52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8A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31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CB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3B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FF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3F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118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C88A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8243"/>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BD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B5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2D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加强时政宣传和社会主义核心价值观教育活动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4C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41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C8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94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89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AF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45DE">
            <w:pPr>
              <w:jc w:val="center"/>
              <w:rPr>
                <w:rFonts w:hint="eastAsia" w:ascii="宋体" w:eastAsia="宋体" w:cs="宋体"/>
                <w:i w:val="0"/>
                <w:iCs w:val="0"/>
                <w:color w:val="000000"/>
                <w:sz w:val="20"/>
                <w:szCs w:val="20"/>
                <w:u w:val="none"/>
              </w:rPr>
            </w:pPr>
          </w:p>
        </w:tc>
      </w:tr>
      <w:tr w14:paraId="48152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FB62"/>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4076"/>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AEFE"/>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D8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开展文化科技卫生“三下乡”活动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5F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BE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01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71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34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24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0A48">
            <w:pPr>
              <w:jc w:val="center"/>
              <w:rPr>
                <w:rFonts w:hint="eastAsia" w:ascii="宋体" w:eastAsia="宋体" w:cs="宋体"/>
                <w:i w:val="0"/>
                <w:iCs w:val="0"/>
                <w:color w:val="000000"/>
                <w:sz w:val="20"/>
                <w:szCs w:val="20"/>
                <w:u w:val="none"/>
              </w:rPr>
            </w:pPr>
          </w:p>
        </w:tc>
      </w:tr>
      <w:tr w14:paraId="48AE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397A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96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88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69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为高质量建设革命老区振兴发展示范市营造良好社会氛围</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7A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CB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11D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8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3D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68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6E80">
            <w:pPr>
              <w:jc w:val="center"/>
              <w:rPr>
                <w:rFonts w:hint="eastAsia" w:ascii="宋体" w:eastAsia="宋体" w:cs="宋体"/>
                <w:i w:val="0"/>
                <w:iCs w:val="0"/>
                <w:color w:val="000000"/>
                <w:sz w:val="20"/>
                <w:szCs w:val="20"/>
                <w:u w:val="none"/>
              </w:rPr>
            </w:pPr>
          </w:p>
        </w:tc>
      </w:tr>
      <w:tr w14:paraId="296D0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96B5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B2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1C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6D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人民群众工作满意度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60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52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7E9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1C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44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AB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03AF1">
            <w:pPr>
              <w:jc w:val="center"/>
              <w:rPr>
                <w:rFonts w:hint="eastAsia" w:ascii="宋体" w:eastAsia="宋体" w:cs="宋体"/>
                <w:i w:val="0"/>
                <w:iCs w:val="0"/>
                <w:color w:val="000000"/>
                <w:sz w:val="20"/>
                <w:szCs w:val="20"/>
                <w:u w:val="none"/>
              </w:rPr>
            </w:pPr>
          </w:p>
        </w:tc>
      </w:tr>
      <w:tr w14:paraId="1B1E2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F0E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DA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94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7C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76B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0A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54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C7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A7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53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D6B0">
            <w:pPr>
              <w:jc w:val="center"/>
              <w:rPr>
                <w:rFonts w:hint="eastAsia" w:ascii="宋体" w:eastAsia="宋体" w:cs="宋体"/>
                <w:i w:val="0"/>
                <w:iCs w:val="0"/>
                <w:color w:val="000000"/>
                <w:sz w:val="20"/>
                <w:szCs w:val="20"/>
                <w:u w:val="none"/>
              </w:rPr>
            </w:pPr>
          </w:p>
        </w:tc>
      </w:tr>
      <w:tr w14:paraId="31BC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17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65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48CD">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D16F">
            <w:pPr>
              <w:rPr>
                <w:rFonts w:hint="eastAsia" w:ascii="宋体" w:eastAsia="宋体" w:cs="宋体"/>
                <w:i w:val="0"/>
                <w:iCs w:val="0"/>
                <w:color w:val="000000"/>
                <w:sz w:val="20"/>
                <w:szCs w:val="20"/>
                <w:u w:val="none"/>
              </w:rPr>
            </w:pPr>
          </w:p>
        </w:tc>
      </w:tr>
      <w:tr w14:paraId="02549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D2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4F7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广泛践行和弘扬社会主义核心价值观，开展党的时政类、公益广告的刊播刊载，开展社会主义核心价值观的主题活动。</w:t>
            </w:r>
          </w:p>
        </w:tc>
      </w:tr>
      <w:tr w14:paraId="4075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504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1D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开展践行和弘扬社会主义核心价值观的活动的方式有待进一步提高。</w:t>
            </w:r>
          </w:p>
        </w:tc>
      </w:tr>
      <w:tr w14:paraId="6A3B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DF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80C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进一步丰富活动方式和载体，有机结合线上线下，营造良好社会氛围。</w:t>
            </w:r>
          </w:p>
        </w:tc>
      </w:tr>
      <w:tr w14:paraId="38D01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5F35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项目负责人：张京</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F6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6771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0C69E">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476C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EC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27D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51190025T000013171317-2025年年初部门预算特定目标类项目203001市委宣传部电影出版工作经费</w:t>
            </w:r>
          </w:p>
        </w:tc>
      </w:tr>
      <w:tr w14:paraId="0819A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486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752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6F43B17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06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7F2B6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2EF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B65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A5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7A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5AB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830A"/>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8993"/>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07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开展电影市场、出版物市场、印刷企业检查，开展作品登记，维护创新创造版权权益，办理行政许可</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E6C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548A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CF1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881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E69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开展电影市场、出版物市场、印刷企业检查4次，完成作品登记3900余件，有效维护创新创造版权权益，办理行政许可100余件，开展主动为企业服务活动4次。</w:t>
            </w:r>
          </w:p>
        </w:tc>
      </w:tr>
      <w:tr w14:paraId="5466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9C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7B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AA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DD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60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69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5B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9D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E8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CD8A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0CB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5C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CD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879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2C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E2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7D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38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A1C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D02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A35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87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99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88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28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7A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E0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8C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E62B"/>
        </w:tc>
      </w:tr>
      <w:tr w14:paraId="5016E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0E8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BF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29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43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A1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0A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BA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8D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299B"/>
        </w:tc>
      </w:tr>
      <w:tr w14:paraId="3389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CE6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41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94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68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C1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EA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EE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41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FD31"/>
        </w:tc>
      </w:tr>
      <w:tr w14:paraId="5B8F4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D6D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87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74D2">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8069">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B662">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DB1C">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36A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05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0EE9"/>
        </w:tc>
      </w:tr>
      <w:tr w14:paraId="4864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09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D8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55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87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71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8B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ACA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DF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C0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6A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8B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F8F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A78E"/>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D0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9E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11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开展出版发行、印刷企业、电影院专项检查</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30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96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3E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B9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80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99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6A33">
            <w:pPr>
              <w:jc w:val="center"/>
              <w:rPr>
                <w:rFonts w:hint="eastAsia" w:ascii="宋体" w:eastAsia="宋体" w:cs="宋体"/>
                <w:i w:val="0"/>
                <w:iCs w:val="0"/>
                <w:color w:val="000000"/>
                <w:sz w:val="20"/>
                <w:szCs w:val="20"/>
                <w:u w:val="none"/>
              </w:rPr>
            </w:pPr>
          </w:p>
        </w:tc>
      </w:tr>
      <w:tr w14:paraId="72789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2204"/>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F8A1"/>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F123"/>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D9C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完成作品登记</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7C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DD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A0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9B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3900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9E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31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B42B">
            <w:pPr>
              <w:jc w:val="center"/>
              <w:rPr>
                <w:rFonts w:hint="eastAsia" w:ascii="宋体" w:eastAsia="宋体" w:cs="宋体"/>
                <w:i w:val="0"/>
                <w:iCs w:val="0"/>
                <w:color w:val="000000"/>
                <w:sz w:val="20"/>
                <w:szCs w:val="20"/>
                <w:u w:val="none"/>
              </w:rPr>
            </w:pPr>
          </w:p>
        </w:tc>
      </w:tr>
      <w:tr w14:paraId="5BC9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83B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92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DE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8A0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培育市场主体，营造一流营商环境</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DA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47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A09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BA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FA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EC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86FC">
            <w:pPr>
              <w:jc w:val="center"/>
              <w:rPr>
                <w:rFonts w:hint="eastAsia" w:ascii="宋体" w:eastAsia="宋体" w:cs="宋体"/>
                <w:i w:val="0"/>
                <w:iCs w:val="0"/>
                <w:color w:val="000000"/>
                <w:sz w:val="20"/>
                <w:szCs w:val="20"/>
                <w:u w:val="none"/>
              </w:rPr>
            </w:pPr>
          </w:p>
        </w:tc>
      </w:tr>
      <w:tr w14:paraId="7986B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721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7B5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91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81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57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B9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D2A2">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91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03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43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6D81">
            <w:pPr>
              <w:jc w:val="center"/>
              <w:rPr>
                <w:rFonts w:hint="eastAsia" w:ascii="宋体" w:eastAsia="宋体" w:cs="宋体"/>
                <w:i w:val="0"/>
                <w:iCs w:val="0"/>
                <w:color w:val="000000"/>
                <w:sz w:val="20"/>
                <w:szCs w:val="20"/>
                <w:u w:val="none"/>
              </w:rPr>
            </w:pPr>
          </w:p>
        </w:tc>
      </w:tr>
      <w:tr w14:paraId="6C688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D9F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A9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63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57F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1F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68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51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CCD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A5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23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6B69">
            <w:pPr>
              <w:jc w:val="center"/>
              <w:rPr>
                <w:rFonts w:hint="eastAsia" w:ascii="宋体" w:eastAsia="宋体" w:cs="宋体"/>
                <w:i w:val="0"/>
                <w:iCs w:val="0"/>
                <w:color w:val="000000"/>
                <w:sz w:val="20"/>
                <w:szCs w:val="20"/>
                <w:u w:val="none"/>
              </w:rPr>
            </w:pPr>
          </w:p>
        </w:tc>
      </w:tr>
      <w:tr w14:paraId="33BD4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49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A2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295F">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19AF">
            <w:pPr>
              <w:rPr>
                <w:rFonts w:hint="eastAsia" w:ascii="宋体" w:eastAsia="宋体" w:cs="宋体"/>
                <w:i w:val="0"/>
                <w:iCs w:val="0"/>
                <w:color w:val="000000"/>
                <w:sz w:val="20"/>
                <w:szCs w:val="20"/>
                <w:u w:val="none"/>
              </w:rPr>
            </w:pPr>
          </w:p>
        </w:tc>
      </w:tr>
      <w:tr w14:paraId="3A53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41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78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新闻出版发行工作涉及面宽、点多，涉及服务群众服务企业，全年主动为企业服务4次，办理行政审批100余件，受到企业、群众一致好评。</w:t>
            </w:r>
          </w:p>
        </w:tc>
      </w:tr>
      <w:tr w14:paraId="075E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ED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DA45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预算经费不足，导致主动为企业服务还需要进一步提升。</w:t>
            </w:r>
          </w:p>
        </w:tc>
      </w:tr>
      <w:tr w14:paraId="730BF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40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640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增加预算，改进工作方法，开展主动为企业和群众服务活动。</w:t>
            </w:r>
          </w:p>
        </w:tc>
      </w:tr>
      <w:tr w14:paraId="4890D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B8C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837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2A465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29610">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F26A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6C5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19E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51190025T000013170674-2025年年初部门预算特定目标类项目203001市委宣传部全民阅读活动经费</w:t>
            </w:r>
          </w:p>
        </w:tc>
      </w:tr>
      <w:tr w14:paraId="4776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F12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7F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4DA09A5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34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CF4D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0CA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370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04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50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38C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8A7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5A3C"/>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5A4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深入开展全市全民阅读活动，切实开展好全民阅读七进活动，维护读书亭正常运转，不断提高全社会文明程度，树立“耕读传家·书香巴中”全民阅读活动品牌，不断提高全民阅读文化氛围，培养全民阅读习惯。</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234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456CE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486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094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B34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全年开展全市全民阅读启动仪式1次，开展全民阅读七进示范活动7次，维护读书亭正常运转，不断提高全社会文明程度，推动“耕读传家·书香巴中”全民阅活动品牌。</w:t>
            </w:r>
          </w:p>
        </w:tc>
      </w:tr>
      <w:tr w14:paraId="31FD4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55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94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5D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13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45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2F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C5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02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ADD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FB7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D57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C5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F5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B0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B7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16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1B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EB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33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0E9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E18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6C5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00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72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58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6BB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4E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3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DF55"/>
        </w:tc>
      </w:tr>
      <w:tr w14:paraId="3DDB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9559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4A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E1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33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E5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B1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10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04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EC44"/>
        </w:tc>
      </w:tr>
      <w:tr w14:paraId="3309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26A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B8F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F68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16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96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5D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13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38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A105"/>
        </w:tc>
      </w:tr>
      <w:tr w14:paraId="4423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B37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E9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603A">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D38B">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69B0">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7FFB">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70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86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A4D5"/>
        </w:tc>
      </w:tr>
      <w:tr w14:paraId="5B531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80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9B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14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94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02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70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CC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7B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81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9A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DC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657E5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1231"/>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49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45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2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开展全民阅读示范活动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D8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73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58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9C7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B1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D4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8944">
            <w:pPr>
              <w:jc w:val="center"/>
              <w:rPr>
                <w:rFonts w:hint="eastAsia" w:ascii="宋体" w:eastAsia="宋体" w:cs="宋体"/>
                <w:i w:val="0"/>
                <w:iCs w:val="0"/>
                <w:color w:val="000000"/>
                <w:sz w:val="20"/>
                <w:szCs w:val="20"/>
                <w:u w:val="none"/>
              </w:rPr>
            </w:pPr>
          </w:p>
        </w:tc>
      </w:tr>
      <w:tr w14:paraId="3BAF8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1302A"/>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85BD"/>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AFB7"/>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95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举办全民阅读启动仪式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C6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47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E0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EA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2B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A6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0AF3">
            <w:pPr>
              <w:jc w:val="center"/>
              <w:rPr>
                <w:rFonts w:hint="eastAsia" w:ascii="宋体" w:eastAsia="宋体" w:cs="宋体"/>
                <w:i w:val="0"/>
                <w:iCs w:val="0"/>
                <w:color w:val="000000"/>
                <w:sz w:val="20"/>
                <w:szCs w:val="20"/>
                <w:u w:val="none"/>
              </w:rPr>
            </w:pPr>
          </w:p>
        </w:tc>
      </w:tr>
      <w:tr w14:paraId="0BFE8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AB8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A9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71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A8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提高全民阅读文化氛围，培养全民阅读习惯</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40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28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D0DF">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D8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89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88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325D">
            <w:pPr>
              <w:jc w:val="center"/>
              <w:rPr>
                <w:rFonts w:hint="eastAsia" w:ascii="宋体" w:eastAsia="宋体" w:cs="宋体"/>
                <w:i w:val="0"/>
                <w:iCs w:val="0"/>
                <w:color w:val="000000"/>
                <w:sz w:val="20"/>
                <w:szCs w:val="20"/>
                <w:u w:val="none"/>
              </w:rPr>
            </w:pPr>
          </w:p>
        </w:tc>
      </w:tr>
      <w:tr w14:paraId="7A7C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2D1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12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73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F3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19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BE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C914">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CA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FA6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7D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4657">
            <w:pPr>
              <w:jc w:val="center"/>
              <w:rPr>
                <w:rFonts w:hint="eastAsia" w:ascii="宋体" w:eastAsia="宋体" w:cs="宋体"/>
                <w:i w:val="0"/>
                <w:iCs w:val="0"/>
                <w:color w:val="000000"/>
                <w:sz w:val="20"/>
                <w:szCs w:val="20"/>
                <w:u w:val="none"/>
              </w:rPr>
            </w:pPr>
          </w:p>
        </w:tc>
      </w:tr>
      <w:tr w14:paraId="07299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4D8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58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70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91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A6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0C2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DE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E8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E3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CA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3454">
            <w:pPr>
              <w:jc w:val="center"/>
              <w:rPr>
                <w:rFonts w:hint="eastAsia" w:ascii="宋体" w:eastAsia="宋体" w:cs="宋体"/>
                <w:i w:val="0"/>
                <w:iCs w:val="0"/>
                <w:color w:val="000000"/>
                <w:sz w:val="20"/>
                <w:szCs w:val="20"/>
                <w:u w:val="none"/>
              </w:rPr>
            </w:pPr>
          </w:p>
        </w:tc>
      </w:tr>
      <w:tr w14:paraId="5F985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07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10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2439">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ED8F">
            <w:pPr>
              <w:rPr>
                <w:rFonts w:hint="eastAsia" w:ascii="宋体" w:eastAsia="宋体" w:cs="宋体"/>
                <w:i w:val="0"/>
                <w:iCs w:val="0"/>
                <w:color w:val="000000"/>
                <w:sz w:val="20"/>
                <w:szCs w:val="20"/>
                <w:u w:val="none"/>
              </w:rPr>
            </w:pPr>
          </w:p>
        </w:tc>
      </w:tr>
      <w:tr w14:paraId="5ABE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73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8B3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开展全民阅读七进示范活动8次、开展巴中市2025年全民阅读启动仪式1次。培育“爱读书、读好书、善读书”的社会风尚，赋能文化强国建设。</w:t>
            </w:r>
          </w:p>
        </w:tc>
      </w:tr>
      <w:tr w14:paraId="1C07C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2A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673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政府投入不足，开展具有影响力和引领性活动不够，导致全民阅读社会参与度还有待进一步提升。</w:t>
            </w:r>
          </w:p>
        </w:tc>
      </w:tr>
      <w:tr w14:paraId="3BE2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BB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DFE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依托《全民阅读促进条例》政府倡导、鼓励社会参与举办各类常态化阅读活动。</w:t>
            </w:r>
          </w:p>
        </w:tc>
      </w:tr>
      <w:tr w14:paraId="55B5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BF2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95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8AA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415C">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D10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646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F1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51190025T000013171250-2025年年初部门预算特定目标类项目203001市委宣传部扫黄打非经费</w:t>
            </w:r>
          </w:p>
        </w:tc>
      </w:tr>
      <w:tr w14:paraId="438A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88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BEE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3FC5578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53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63FE3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BF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63C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38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69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8C2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8786"/>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41CE"/>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12B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召开“扫黄打非”联席会议，开展市场专项检查，完成中央扫黄打非办及省扫黄打非办交办的工作目标任务，推动出版发行市场清朗</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0D0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全面完成项目各项年度目标。</w:t>
            </w:r>
          </w:p>
        </w:tc>
      </w:tr>
      <w:tr w14:paraId="4A8F2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7EE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5F4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D2C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Style w:val="35"/>
                <w:lang w:val="en-US" w:eastAsia="zh-CN"/>
              </w:rPr>
              <w:t>全年</w:t>
            </w:r>
            <w:r>
              <w:rPr>
                <w:rStyle w:val="36"/>
                <w:lang w:val="en-US" w:eastAsia="zh-CN"/>
              </w:rPr>
              <w:t>召开“扫黄打非”联席会议2次，开展市场专项检查4次，完成中央扫黄打非办及省扫黄打非办交办的工作目标任务，有效维护了巴中市清朗文化环境。</w:t>
            </w:r>
          </w:p>
        </w:tc>
      </w:tr>
      <w:tr w14:paraId="2346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3D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04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7B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F9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4F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25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D9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D2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45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12F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B14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57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17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42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E6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4C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07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F9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0B7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628C2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36D2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D4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67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95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E5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4.41</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07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AD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6A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D6D3"/>
        </w:tc>
      </w:tr>
      <w:tr w14:paraId="2F68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67B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61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30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9A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4E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0E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A2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0E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FACF"/>
        </w:tc>
      </w:tr>
      <w:tr w14:paraId="72B9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FF9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D4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3C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42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A7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5F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1C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5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B410D"/>
        </w:tc>
      </w:tr>
      <w:tr w14:paraId="64E7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1CD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11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5EEE">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01A3">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04A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406F">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1E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BD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8B0C"/>
        </w:tc>
      </w:tr>
      <w:tr w14:paraId="3C308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BC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57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0B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F8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0C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40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38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D7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5C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6A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D2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07EBF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2641"/>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F9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A2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8C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开展出版发行、印刷企业、电影院专项检查</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0C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03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A3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60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67E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E4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C259">
            <w:pPr>
              <w:jc w:val="center"/>
              <w:rPr>
                <w:rFonts w:hint="eastAsia" w:ascii="宋体" w:eastAsia="宋体" w:cs="宋体"/>
                <w:i w:val="0"/>
                <w:iCs w:val="0"/>
                <w:color w:val="000000"/>
                <w:sz w:val="20"/>
                <w:szCs w:val="20"/>
                <w:u w:val="none"/>
              </w:rPr>
            </w:pPr>
          </w:p>
        </w:tc>
      </w:tr>
      <w:tr w14:paraId="3349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E6EC"/>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CFE1"/>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735E"/>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AD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开展“扫黄打非”联防联控活动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8E6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33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8C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80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6B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DD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B839">
            <w:pPr>
              <w:jc w:val="center"/>
              <w:rPr>
                <w:rFonts w:hint="eastAsia" w:ascii="宋体" w:eastAsia="宋体" w:cs="宋体"/>
                <w:i w:val="0"/>
                <w:iCs w:val="0"/>
                <w:color w:val="000000"/>
                <w:sz w:val="20"/>
                <w:szCs w:val="20"/>
                <w:u w:val="none"/>
              </w:rPr>
            </w:pPr>
          </w:p>
        </w:tc>
      </w:tr>
      <w:tr w14:paraId="5F05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B97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C7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1A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E0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营造良好社会风气</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27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50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E90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34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49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D9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E76D0">
            <w:pPr>
              <w:jc w:val="center"/>
              <w:rPr>
                <w:rFonts w:hint="eastAsia" w:ascii="宋体" w:eastAsia="宋体" w:cs="宋体"/>
                <w:i w:val="0"/>
                <w:iCs w:val="0"/>
                <w:color w:val="000000"/>
                <w:sz w:val="20"/>
                <w:szCs w:val="20"/>
                <w:u w:val="none"/>
              </w:rPr>
            </w:pPr>
          </w:p>
        </w:tc>
      </w:tr>
      <w:tr w14:paraId="39F0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B7F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D1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D2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54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71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D7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884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5A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69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F26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6915">
            <w:pPr>
              <w:jc w:val="center"/>
              <w:rPr>
                <w:rFonts w:hint="eastAsia" w:ascii="宋体" w:eastAsia="宋体" w:cs="宋体"/>
                <w:i w:val="0"/>
                <w:iCs w:val="0"/>
                <w:color w:val="000000"/>
                <w:sz w:val="20"/>
                <w:szCs w:val="20"/>
                <w:u w:val="none"/>
              </w:rPr>
            </w:pPr>
          </w:p>
        </w:tc>
      </w:tr>
      <w:tr w14:paraId="6AF8A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1F6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E8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57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70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B8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82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BD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1C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D1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F6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7B29">
            <w:pPr>
              <w:jc w:val="center"/>
              <w:rPr>
                <w:rFonts w:hint="eastAsia" w:ascii="宋体" w:eastAsia="宋体" w:cs="宋体"/>
                <w:i w:val="0"/>
                <w:iCs w:val="0"/>
                <w:color w:val="000000"/>
                <w:sz w:val="20"/>
                <w:szCs w:val="20"/>
                <w:u w:val="none"/>
              </w:rPr>
            </w:pPr>
          </w:p>
        </w:tc>
      </w:tr>
      <w:tr w14:paraId="454E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87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E9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1587">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9A9F">
            <w:pPr>
              <w:rPr>
                <w:rFonts w:hint="eastAsia" w:ascii="宋体" w:eastAsia="宋体" w:cs="宋体"/>
                <w:i w:val="0"/>
                <w:iCs w:val="0"/>
                <w:color w:val="000000"/>
                <w:sz w:val="20"/>
                <w:szCs w:val="20"/>
                <w:u w:val="none"/>
              </w:rPr>
            </w:pPr>
          </w:p>
        </w:tc>
      </w:tr>
      <w:tr w14:paraId="30DF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75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B0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2025年“扫黄打非”工作举措实，成效显著，为全市经济社会发展营造了清朗健康的文化空间。</w:t>
            </w:r>
          </w:p>
        </w:tc>
      </w:tr>
      <w:tr w14:paraId="72E7F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41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F00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财力保障不足，开展宣传教育的活动较少，社会认知度不高。</w:t>
            </w:r>
          </w:p>
        </w:tc>
      </w:tr>
      <w:tr w14:paraId="6F6D0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36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B2C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加大财力保障，常态化开展宣传教育，常态化开展专项行动，为巴中社会建设提供清朗文化环境。</w:t>
            </w:r>
          </w:p>
        </w:tc>
      </w:tr>
      <w:tr w14:paraId="272C7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F22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项目负责人：马魁</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86C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FFEC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266D">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6C3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0F7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55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51190025T000013167831-2023党的创新理论宣传培训班</w:t>
            </w:r>
          </w:p>
        </w:tc>
      </w:tr>
      <w:tr w14:paraId="71527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383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4F4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4308C3B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F1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7BA3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7C2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28D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D5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81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5B64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3F66"/>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4108"/>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83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深入学习贯彻习近平文化思想，持续推进党的创新理论大众化普及化，通过理论学习、现场教学、观摩展示、经验交流等方式，引导参训学员扛牢“举旗帜、聚民心、育新人、兴文化、展形象”的使命任务，树牢“四个意识”、坚定“四个自信”、坚决做到“两个维护”，为奋进新时代新征程，谱写巴中现代化建设新篇章凝聚强大精神力量。</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F1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2023年党的创新理论宣传培训班项目目标全面完成，44人全勤参训，围绕习近平文化思想等设置课程，通过多元教学，有效推进党的创新理论大众化，引导学员扛牢使命任务、树牢“四个意识”，达到预期效果。</w:t>
            </w:r>
          </w:p>
        </w:tc>
      </w:tr>
      <w:tr w14:paraId="12B7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96E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DD7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31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次培训班于2023年10月30日至11月3日在中共巴中市委党校（四川大巴山干部学院）举办，为期5天。培训对象为市级相关部门（单位）分管负责同志、各县（区）党委宣传部及巴中经开区党群工作部、文旅示范区党政办负责同志、业务骨干及部机关相关科室干部，共44人全勤参训。培训内容紧扣理论武装工作实际，设置“理响巴蜀”理论宣讲短视频策划制作、“学习强国”学习平台管理应用、理论宣讲、调查研究与调研报告写作、党性教育等课程。采取集中授课、示范观摩、交流发言、现场教学相结合的方式进行，做到现场与课堂、观摩与会议、授课与交流“三个结合”。培训期间严格管理、严明纪律，全体学员顺利完成学业并结业。通过培训，有效提升了参训学员的理论素养和业务能力。</w:t>
            </w:r>
          </w:p>
        </w:tc>
      </w:tr>
      <w:tr w14:paraId="0F3B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D8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2F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60E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CD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95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CC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D6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E1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25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6011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26A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00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0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94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63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EB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32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EF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417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D3FE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A19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E7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77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73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8A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8.72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32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57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58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D896"/>
        </w:tc>
      </w:tr>
      <w:tr w14:paraId="66B7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F33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36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71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F3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A9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2C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21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7D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C470"/>
        </w:tc>
      </w:tr>
      <w:tr w14:paraId="3459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D02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AA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09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97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0E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51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60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A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5A1F"/>
        </w:tc>
      </w:tr>
      <w:tr w14:paraId="150A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44B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70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019D">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FF58">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834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732C">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B8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54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F409"/>
        </w:tc>
      </w:tr>
      <w:tr w14:paraId="73C92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F48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5D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E0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4E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486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7B9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69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9D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DF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AA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4B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2A0A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ECE2"/>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E8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9E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15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举办党的理论创新宣传培训班</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B1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5C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0E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7F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C8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7C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95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17C88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47D4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F5DB"/>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FFBD"/>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15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培训人次</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1E6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50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A8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04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12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EC2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42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42BB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027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FC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54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2F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为奋进新时代新征程，谱写巴中现代化建设新篇章凝聚强大精神力量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BC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8B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65DE">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24D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B9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BD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FB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446F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D55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0A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95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95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参与培训人员满意度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50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A1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16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EE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29A7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0A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BCD6">
            <w:pPr>
              <w:keepNext w:val="0"/>
              <w:keepLines w:val="0"/>
              <w:widowControl/>
              <w:suppressLineNumbers w:val="0"/>
              <w:jc w:val="center"/>
              <w:textAlignment w:val="center"/>
              <w:rPr>
                <w:rFonts w:ascii="Symbol" w:hAnsi="Symbol" w:eastAsia="宋体" w:cs="Symbol"/>
                <w:i w:val="0"/>
                <w:iCs w:val="0"/>
                <w:color w:val="000000"/>
                <w:sz w:val="20"/>
                <w:szCs w:val="20"/>
                <w:u w:val="none"/>
              </w:rPr>
            </w:pPr>
            <w:r>
              <w:rPr>
                <w:rFonts w:ascii="Symbol" w:hAnsi="Symbol" w:eastAsia="宋体" w:cs="Symbol"/>
                <w:i w:val="0"/>
                <w:iCs w:val="0"/>
                <w:color w:val="000000"/>
                <w:kern w:val="0"/>
                <w:sz w:val="20"/>
                <w:szCs w:val="20"/>
                <w:u w:val="none"/>
                <w:lang w:val="en-US" w:eastAsia="zh-CN"/>
              </w:rPr>
              <w:t></w:t>
            </w:r>
          </w:p>
        </w:tc>
      </w:tr>
      <w:tr w14:paraId="2211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4AD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33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3F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3D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72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5C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03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12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F3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1C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71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038C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89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360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E4AD">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97.5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9126">
            <w:pPr>
              <w:rPr>
                <w:rFonts w:hint="eastAsia" w:ascii="宋体" w:eastAsia="宋体" w:cs="宋体"/>
                <w:i w:val="0"/>
                <w:iCs w:val="0"/>
                <w:color w:val="000000"/>
                <w:sz w:val="20"/>
                <w:szCs w:val="20"/>
                <w:u w:val="none"/>
              </w:rPr>
            </w:pPr>
          </w:p>
        </w:tc>
      </w:tr>
      <w:tr w14:paraId="0D580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FC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E2E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根据自评，本项目自评总分为97.5分。主要成效：一是44名学员全勤参训，围绕“理响巴蜀”短视频策划、“学习强国”管理、理论宣讲、调查研究等课程，通过集中授课、现场教学等多元形式，有效提升了全市理论战线干部的业务素养和实践能力。二是深入学习贯彻习近平文化思想，强化了使命担当，为巴中现代化建设凝聚了精神力量。三是培训纪律严明，达到预期效果，但个别单位代训和学员迟到早退问题需后续改进。</w:t>
            </w:r>
          </w:p>
        </w:tc>
      </w:tr>
      <w:tr w14:paraId="742B5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2F5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C12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个别单位重视不够，以人手少、工作忙为由派人代训；二是个别学员自我要求不严，偶有迟到、早退。原因分析：部分单位对理论武装工作的极端重要性认识不足，重业务轻学习，未能妥善处理工学矛盾；少数学员纪律意识和规矩意识淡化，缺乏严格自我约束。</w:t>
            </w:r>
          </w:p>
        </w:tc>
      </w:tr>
      <w:tr w14:paraId="3A17C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48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544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严明调训纪律，实行“谁参训、谁负责”，确需调整须书面报批；强化学员管理，推行学分制考核，将出勤、课堂表现纳入结业评价，对违纪学员通报所在单位；优化课程设计，增加案例教学、互动研讨比重。同时建议建立理论武装培训轮训长效机制，每年组织1次赴市外专题培训；将参训情况及成效纳入单位意识形态工作年度考核，压实单位主体责任。</w:t>
            </w:r>
          </w:p>
        </w:tc>
      </w:tr>
      <w:tr w14:paraId="2CE6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2191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项目负责人：吕淑萍</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3F9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4637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E813">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164B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15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16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51190025T000013171185-2025年年初部门预算特定目标类项目203001市委宣传部“响网巴中”微宣讲暨“理论大家讲”全媒体直播经费</w:t>
            </w:r>
          </w:p>
        </w:tc>
      </w:tr>
      <w:tr w14:paraId="6257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31C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687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43B3EB6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8E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9B7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6F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60C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3E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2C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0740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4407"/>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F34E"/>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00E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以习近平新时代中国特色社会主义思想宣讲为主线，围绕中央、省、市全会精神开展网络宣讲，发布“响网巴中”短视频、开展“理论大家讲”全媒体直播，打造“理响巴蜀”理论宣讲品牌，推动党的创新理论深入党员干部群众发布“响网巴中”短视频、制播“理论大家讲”全媒体直播，依托巴山红宣讲团，开展宣讲活动。</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0E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省、市全会精神开展网络宣讲，推出理论宣讲融媒体产品278部（篇），2部短视频获“理响巴蜀”平台展播，“理论大家讲”单场直播累计观看量突破3万。组织“巴山红宣讲团”的骨干宣讲员积极参与重大主题宣讲，并开展“新思想·话改革”主题巡回宣讲7场，线上线下覆盖10万人次。</w:t>
            </w:r>
          </w:p>
        </w:tc>
      </w:tr>
      <w:tr w14:paraId="3056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BD6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F9F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8F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党的二十届四中全会，省委十二届七次、八次全会，市委五届十次全会、十一次全会精神，组建市、县（区）两级宣讲团179个，开展集中宣讲850场次，组建各类基层宣讲队伍2000余个，开展集中宣讲6000余场次。组织“巴山红”宣讲团宣讲员开展“新思想·话改革”主题巡回宣讲7场，线上线下覆盖10万人次。充分发挥“响网巴中”微宣讲、“理论大家讲”全媒体直播等网络宣讲品牌作用，围绕中央、省委和市委全会精神，开设“全会精神开讲啦”等专栏，充分运用视频、图解、海报、VLOG、长图等形式，推出理论宣讲融媒体产品278部（篇），《古镇不“古”》、《以树之名》获“理响巴蜀”平台展播，其中《古镇不“古”》全网播放量突破1000万，“理论大家讲”12场。</w:t>
            </w:r>
          </w:p>
        </w:tc>
      </w:tr>
      <w:tr w14:paraId="1137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A6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2C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31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F3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74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7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2FC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7D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8C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DEF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B27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3B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B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78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DF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3D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CF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92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582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0A9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396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AC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41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81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39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44.95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BE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66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39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BE47"/>
        </w:tc>
      </w:tr>
      <w:tr w14:paraId="3460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F44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F33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EF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EE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EC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68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79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98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2F6E"/>
        </w:tc>
      </w:tr>
      <w:tr w14:paraId="72F1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376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F7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DE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27B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25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F5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7C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F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56CC"/>
        </w:tc>
      </w:tr>
      <w:tr w14:paraId="5458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ADA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D6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05F8">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EC18">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34C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5B7E">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A1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8D5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0DC3"/>
        </w:tc>
      </w:tr>
      <w:tr w14:paraId="5F96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0D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7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17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98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2C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5D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82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4F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05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9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4F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BA8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AA0C"/>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EA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8D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3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全年组建市级宣讲团开展主题宣讲</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FC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DF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42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D5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1A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3B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8D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33FFF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884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F9D4"/>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C0790"/>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75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制播“理论大家讲”全媒体直播</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DDA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B7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6A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56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23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AB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B9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002CB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F532"/>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78483"/>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4C5D"/>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0FD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发布“响网巴中”短视频</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38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6A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13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6A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C4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C8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CC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730B8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22A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6D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F3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F3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宣讲党的创新理论，凝聚社会广泛共识</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4D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1C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83D0">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62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FF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20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1303">
            <w:pPr>
              <w:keepNext w:val="0"/>
              <w:keepLines w:val="0"/>
              <w:widowControl/>
              <w:suppressLineNumbers w:val="0"/>
              <w:jc w:val="center"/>
              <w:textAlignment w:val="center"/>
              <w:rPr>
                <w:rFonts w:ascii="Symbol" w:hAnsi="Symbol" w:eastAsia="宋体" w:cs="Symbol"/>
                <w:i w:val="0"/>
                <w:iCs w:val="0"/>
                <w:color w:val="000000"/>
                <w:sz w:val="20"/>
                <w:szCs w:val="20"/>
                <w:u w:val="none"/>
              </w:rPr>
            </w:pPr>
            <w:r>
              <w:rPr>
                <w:rFonts w:ascii="Symbol" w:hAnsi="Symbol" w:eastAsia="宋体" w:cs="Symbol"/>
                <w:i w:val="0"/>
                <w:iCs w:val="0"/>
                <w:color w:val="000000"/>
                <w:kern w:val="0"/>
                <w:sz w:val="20"/>
                <w:szCs w:val="20"/>
                <w:u w:val="none"/>
                <w:lang w:val="en-US" w:eastAsia="zh-CN"/>
              </w:rPr>
              <w:t></w:t>
            </w:r>
          </w:p>
        </w:tc>
      </w:tr>
      <w:tr w14:paraId="4EEBC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2F0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A5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DB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6D6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E7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50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80EF">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09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1E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D2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6D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2775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831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80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D4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B7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AF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1F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B4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AE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41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CC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48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r>
      <w:tr w14:paraId="72E18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7E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0A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446C">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CD4A">
            <w:pPr>
              <w:rPr>
                <w:rFonts w:hint="eastAsia" w:ascii="宋体" w:eastAsia="宋体" w:cs="宋体"/>
                <w:i w:val="0"/>
                <w:iCs w:val="0"/>
                <w:color w:val="000000"/>
                <w:sz w:val="20"/>
                <w:szCs w:val="20"/>
                <w:u w:val="none"/>
              </w:rPr>
            </w:pPr>
          </w:p>
        </w:tc>
      </w:tr>
      <w:tr w14:paraId="2926A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F1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AB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根据自评，本项目自评总分为95.5分。主要成效：围绕党的二十届四中全会、省委十二届八次和市委五届十一次全会精神，“响网巴中”微宣讲、“理论大家讲”全媒体直播开设“全会精神开讲啦”等专栏，推出理论宣讲融媒体产品278部（篇），《古镇不“古”》、《以树之名》获“理响巴蜀”平台展播，其中《古镇不“古”》全网播放量突破1000万，“理论大家讲”单场直播累计观看量突破3万，切实推动党的创新理论入脑入心。遴选“巴山红”宣讲团优秀的宣讲员成为市委宣讲团成员，参与中央、省委和市委全会精神宣讲，选拔7名宣讲员参与开展“新思想·话改革”主题巡回宣讲7场，线上线下覆盖10万人次。</w:t>
            </w:r>
          </w:p>
        </w:tc>
      </w:tr>
      <w:tr w14:paraId="20405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F2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C0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一是内容时效性不足，重大主题宣传响应不够迅速，视频策划制作存在滞后；二是品牌推广力度不够，传播矩阵联动不足，未形成持续刷屏的传播声势和广泛社会影响力。</w:t>
            </w:r>
          </w:p>
        </w:tc>
      </w:tr>
      <w:tr w14:paraId="3156F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59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763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优化重大主题响应机制，提前策划、压缩制作周期，提升宣传时效性；整合平台资源，强化多渠道联动推广，加大社交平台投放与互动运营，打造爆款产品，持续扩大理论宣讲覆盖面与传播力。</w:t>
            </w:r>
          </w:p>
        </w:tc>
      </w:tr>
      <w:tr w14:paraId="4948D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372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项目负责人：张晋珠</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7AC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24FB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E9C8">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72E20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C0F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60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51190025T000013169842-2025年年初部门预算特定目标类项目203001市委宣传部市委中心组学习会议费</w:t>
            </w:r>
          </w:p>
        </w:tc>
      </w:tr>
      <w:tr w14:paraId="6B672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C7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D7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7C8F379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73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4C323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E85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395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1C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BA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C42A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E7EB"/>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B052"/>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BBF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党委中心组学习以政治学习为根本，把旗帜鲜明讲政治的要求体现到学习全过程。党委中心组学习着眼提高领导干部理论素养，努力掌握和运用马克思主义立场观点方法，真正把马克思主义看家本领学到手。党委中心组学习要弘扬理论联系实际的马克思主义学风，把研究解决问题作为学习的出发点和落脚点。</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645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巴中市委坚持以习近平新时代中国特色社会主义思想为指导，认真落实《中国共产党党委（党组）理论学习中心组学习规则》，深入学习贯彻党的二十届四中全会和省委十二届七次、八次全会精神，坚持高站位谋划、高标准组织、高质量推进市委理论学习中心组学习工作，大力弘扬马克思主义学风，力戒形式主义，理论学习严肃规范、有效有序，为全市经济社会高质量发展注入了强劲的思想动力和理论支撑。</w:t>
            </w:r>
          </w:p>
        </w:tc>
      </w:tr>
      <w:tr w14:paraId="40812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3A0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632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DC3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集体学习研讨11次，3名市领导和市委网信办主要负责同志在理论学习中心组会上作领学辅导；先后邀请中国电信集团首席科学家张宝玉、华高莱斯董事长李忠、彭州市桂花镇金城社区党委书记岳付飞等8名领导专家来巴，开展数字中国建设、文旅融合发展、城市“规建运治”和城乡融合发展等领域专题辅导，组织部分中心组成员赴全国19个革命老区重点城市和雄安新区、景德镇市、彭州市等地学习考察，深入基层一线开展调研300余次，形成高质量调研成果40项。</w:t>
            </w:r>
          </w:p>
        </w:tc>
      </w:tr>
      <w:tr w14:paraId="0D0F7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58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32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ED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D9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83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CF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94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11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2C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9C2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76B7"/>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6C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3A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1E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A15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E0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1B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0F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72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65705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60E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9A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3E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F5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8B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17.64</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5E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96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85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374F"/>
        </w:tc>
      </w:tr>
      <w:tr w14:paraId="526E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CA2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9C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294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74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8C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9D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CC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0B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057C"/>
        </w:tc>
      </w:tr>
      <w:tr w14:paraId="71897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E47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F9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D6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B4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56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8B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2C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49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DD43"/>
        </w:tc>
      </w:tr>
      <w:tr w14:paraId="037D1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124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04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9EDA">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BF02">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C2EE">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6093">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4B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AA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C2CF"/>
        </w:tc>
      </w:tr>
      <w:tr w14:paraId="764E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38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28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B1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F0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89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D4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D4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69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58B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198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366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72FA7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7CF0"/>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BC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49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86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编印中心组学习资料</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F4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9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C9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册</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B5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EF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94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5E65">
            <w:pPr>
              <w:jc w:val="center"/>
              <w:rPr>
                <w:rFonts w:hint="eastAsia" w:ascii="宋体" w:eastAsia="宋体" w:cs="宋体"/>
                <w:i w:val="0"/>
                <w:iCs w:val="0"/>
                <w:color w:val="000000"/>
                <w:sz w:val="20"/>
                <w:szCs w:val="20"/>
                <w:u w:val="none"/>
              </w:rPr>
            </w:pPr>
          </w:p>
        </w:tc>
      </w:tr>
      <w:tr w14:paraId="5BF7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5D86"/>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F068"/>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8C2D"/>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5B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执行《中国共产党党委（党组）理论学习中心组学习规则》，筹办集体学习研讨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DE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E1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1C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5D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7E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62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C468">
            <w:pPr>
              <w:jc w:val="center"/>
              <w:rPr>
                <w:rFonts w:hint="eastAsia" w:ascii="宋体" w:eastAsia="宋体" w:cs="宋体"/>
                <w:i w:val="0"/>
                <w:iCs w:val="0"/>
                <w:color w:val="000000"/>
                <w:sz w:val="20"/>
                <w:szCs w:val="20"/>
                <w:u w:val="none"/>
              </w:rPr>
            </w:pPr>
          </w:p>
        </w:tc>
      </w:tr>
      <w:tr w14:paraId="37D0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C5E6"/>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CE42B"/>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F1D7"/>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00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订购学习书籍</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F2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8F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3B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06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BE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1C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BCAF">
            <w:pPr>
              <w:jc w:val="center"/>
              <w:rPr>
                <w:rFonts w:hint="eastAsia" w:ascii="宋体" w:eastAsia="宋体" w:cs="宋体"/>
                <w:i w:val="0"/>
                <w:iCs w:val="0"/>
                <w:color w:val="000000"/>
                <w:sz w:val="20"/>
                <w:szCs w:val="20"/>
                <w:u w:val="none"/>
              </w:rPr>
            </w:pPr>
          </w:p>
        </w:tc>
      </w:tr>
      <w:tr w14:paraId="6F2A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FA50"/>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88A0"/>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AFD4"/>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7A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邀请专家学习作专题辅导报告</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14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F5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08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88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47F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DB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5EA0">
            <w:pPr>
              <w:jc w:val="center"/>
              <w:rPr>
                <w:rFonts w:hint="eastAsia" w:ascii="宋体" w:eastAsia="宋体" w:cs="宋体"/>
                <w:i w:val="0"/>
                <w:iCs w:val="0"/>
                <w:color w:val="000000"/>
                <w:sz w:val="20"/>
                <w:szCs w:val="20"/>
                <w:u w:val="none"/>
              </w:rPr>
            </w:pPr>
          </w:p>
        </w:tc>
      </w:tr>
      <w:tr w14:paraId="0656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CF3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0AF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B2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17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用党的创新理论武装头脑、指导实践、推动工作。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8F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A4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448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8C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5E2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1E1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667E">
            <w:pPr>
              <w:jc w:val="center"/>
              <w:rPr>
                <w:rFonts w:hint="eastAsia" w:ascii="宋体" w:eastAsia="宋体" w:cs="宋体"/>
                <w:i w:val="0"/>
                <w:iCs w:val="0"/>
                <w:color w:val="000000"/>
                <w:sz w:val="20"/>
                <w:szCs w:val="20"/>
                <w:u w:val="none"/>
              </w:rPr>
            </w:pPr>
          </w:p>
        </w:tc>
      </w:tr>
      <w:tr w14:paraId="6BAB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57C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89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32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42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5D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9D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6AC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BF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BF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98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6932">
            <w:pPr>
              <w:jc w:val="center"/>
              <w:rPr>
                <w:rFonts w:hint="eastAsia" w:ascii="宋体" w:eastAsia="宋体" w:cs="宋体"/>
                <w:i w:val="0"/>
                <w:iCs w:val="0"/>
                <w:color w:val="000000"/>
                <w:sz w:val="20"/>
                <w:szCs w:val="20"/>
                <w:u w:val="none"/>
              </w:rPr>
            </w:pPr>
          </w:p>
        </w:tc>
      </w:tr>
      <w:tr w14:paraId="4922F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6F9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31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A54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4A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B5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1E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69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3ED4">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28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87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7B71">
            <w:pPr>
              <w:jc w:val="center"/>
              <w:rPr>
                <w:rFonts w:hint="eastAsia" w:ascii="宋体" w:eastAsia="宋体" w:cs="宋体"/>
                <w:i w:val="0"/>
                <w:iCs w:val="0"/>
                <w:color w:val="000000"/>
                <w:sz w:val="20"/>
                <w:szCs w:val="20"/>
                <w:u w:val="none"/>
              </w:rPr>
            </w:pPr>
          </w:p>
        </w:tc>
      </w:tr>
      <w:tr w14:paraId="56A80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49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5E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E6B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9B64">
            <w:pPr>
              <w:rPr>
                <w:rFonts w:hint="eastAsia" w:ascii="宋体" w:eastAsia="宋体" w:cs="宋体"/>
                <w:i w:val="0"/>
                <w:iCs w:val="0"/>
                <w:color w:val="000000"/>
                <w:sz w:val="20"/>
                <w:szCs w:val="20"/>
                <w:u w:val="none"/>
              </w:rPr>
            </w:pPr>
          </w:p>
        </w:tc>
      </w:tr>
      <w:tr w14:paraId="277C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B5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AB0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市委理论学习中心组学习坚持以政治学习为根本，以深入学习贯彻习近平新时代中国特色社会主义思想为主题主线，开展集体学习研讨11次，努力从党的创新理论中探寻中国式现代化巴中实践的科学路径。聚焦乡村振兴、营商环境、产业融圈建链、金融工作等经济社会发展重点领域，开展集体研讨8次，专题学习党的二十届四中全会和省委十二届七次、八次全会精神，结合巴中实际，研究出台《关于深入贯彻省委十二届七次全会精神推进文化和旅游深度融合发展的实施意见》《关于制定巴中市国民经济和社会发展第十五个五年规划的建议》等一系列打基础利长远的政策措施，真正把学习成果转化为推动高质量发展的实践动力。切实将学习成果转化为推动高质量发展的实际成效。</w:t>
            </w:r>
          </w:p>
        </w:tc>
      </w:tr>
      <w:tr w14:paraId="38284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92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16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结合自评情况，分析存在的问题及原因。（200字以内）</w:t>
            </w:r>
          </w:p>
        </w:tc>
      </w:tr>
      <w:tr w14:paraId="660F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DE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E36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针对项目自评中发现的问题，提出下一步改进完善的意见及有关政策性建议。（200字以内）</w:t>
            </w:r>
          </w:p>
        </w:tc>
      </w:tr>
      <w:tr w14:paraId="709B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A5D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项目负责人：蒋辉龙</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F326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26FC8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EA9F">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33B1A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F04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5A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51190025T000013171210-2025年年初部门预算特定目标类项目203001市委宣传部青少年书画传习活动经费</w:t>
            </w:r>
          </w:p>
        </w:tc>
      </w:tr>
      <w:tr w14:paraId="03C4F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B5C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B83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6958B4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29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99FD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AE7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97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B1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ED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0E40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4C7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97A4"/>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E82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开展青少年书画传学活动，培养青少年对书法、国画的兴趣，提升全市中小学生传统文化水平</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F2F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7月12日，以“文化传承强国有我”为主题的巴中市第四届青少年书画传习大会市级选拔赛启幕，自活动开展以来，1000余名学生踊跃参与，经过初赛、复赛，最终238名青少年书画爱好者晋级市级选拔赛，大家齐聚一堂，一展风采，共同感受中华传统文化的独特魅力。共选拔出26名中小学生参加了8月下旬在射洪市举行的全省决赛，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w:t>
            </w:r>
          </w:p>
        </w:tc>
      </w:tr>
      <w:tr w14:paraId="0FDD5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98C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68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31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该活动自2025年5月份启动以来，全市超过1000余名学生踊跃参与，经过初赛、复赛，最终238名青少年书画爱好者晋级市级选拔赛，2025年7月12日，以“文化传承强国有我”为主题的巴中市第四届青少年书画传习大会市级选拔赛在巴中市兴合阳光酒店举行，优秀作品展同步在市文广体旅局微信公众号发布，经过理论素养答题、现场作品创作等环节，共选拔出26名中小学生参加了8月下旬在射洪市举行的全省决赛，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w:t>
            </w:r>
          </w:p>
        </w:tc>
      </w:tr>
      <w:tr w14:paraId="2F3C0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7D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7F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65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1E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DE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1C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38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1D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CAA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6FB4E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7B2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DA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34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9A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9A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33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86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EDD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6C0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4E29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F83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9E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DB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C5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7F4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6.37</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81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69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FB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7F68"/>
        </w:tc>
      </w:tr>
      <w:tr w14:paraId="3F30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517C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14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69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33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DC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64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D4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2C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99B4"/>
        </w:tc>
      </w:tr>
      <w:tr w14:paraId="5982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E7E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CF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FF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89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24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E9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76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B7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22A8"/>
        </w:tc>
      </w:tr>
      <w:tr w14:paraId="7136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717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C9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2388">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B90F">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427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9732">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70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1F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5D66"/>
        </w:tc>
      </w:tr>
      <w:tr w14:paraId="71AA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D8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D0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46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E7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96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4B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C4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B22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4BF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D60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7AC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DA36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70A8"/>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BD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27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E1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推广链接宣传</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DC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F6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8C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浏览、点击量</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B061">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C4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78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908E">
            <w:pPr>
              <w:jc w:val="center"/>
              <w:rPr>
                <w:rFonts w:hint="eastAsia" w:ascii="宋体" w:eastAsia="宋体" w:cs="宋体"/>
                <w:i w:val="0"/>
                <w:iCs w:val="0"/>
                <w:color w:val="000000"/>
                <w:sz w:val="20"/>
                <w:szCs w:val="20"/>
                <w:u w:val="none"/>
              </w:rPr>
            </w:pPr>
          </w:p>
        </w:tc>
      </w:tr>
      <w:tr w14:paraId="6943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6770"/>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1953"/>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D52D"/>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59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开展市级决赛</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C1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39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3B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B0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E4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5E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0AA1">
            <w:pPr>
              <w:jc w:val="center"/>
              <w:rPr>
                <w:rFonts w:hint="eastAsia" w:ascii="宋体" w:eastAsia="宋体" w:cs="宋体"/>
                <w:i w:val="0"/>
                <w:iCs w:val="0"/>
                <w:color w:val="000000"/>
                <w:sz w:val="20"/>
                <w:szCs w:val="20"/>
                <w:u w:val="none"/>
              </w:rPr>
            </w:pPr>
          </w:p>
        </w:tc>
      </w:tr>
      <w:tr w14:paraId="5E50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6892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4128"/>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CE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C6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高质量完成，并参加省级决赛</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C7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9F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88F4">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9C1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F02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28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9CAF">
            <w:pPr>
              <w:jc w:val="center"/>
              <w:rPr>
                <w:rFonts w:hint="eastAsia" w:ascii="宋体" w:eastAsia="宋体" w:cs="宋体"/>
                <w:i w:val="0"/>
                <w:iCs w:val="0"/>
                <w:color w:val="000000"/>
                <w:sz w:val="20"/>
                <w:szCs w:val="20"/>
                <w:u w:val="none"/>
              </w:rPr>
            </w:pPr>
          </w:p>
        </w:tc>
      </w:tr>
      <w:tr w14:paraId="6DED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207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53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50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B0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推动中国书画在青少年中广泛传播</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43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42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922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0B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5F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D3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50EC">
            <w:pPr>
              <w:jc w:val="center"/>
              <w:rPr>
                <w:rFonts w:hint="eastAsia" w:ascii="宋体" w:eastAsia="宋体" w:cs="宋体"/>
                <w:i w:val="0"/>
                <w:iCs w:val="0"/>
                <w:color w:val="000000"/>
                <w:sz w:val="20"/>
                <w:szCs w:val="20"/>
                <w:u w:val="none"/>
              </w:rPr>
            </w:pPr>
          </w:p>
        </w:tc>
      </w:tr>
      <w:tr w14:paraId="2A6A4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6632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86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90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33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48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38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41D8">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35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35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04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2728">
            <w:pPr>
              <w:jc w:val="center"/>
              <w:rPr>
                <w:rFonts w:hint="eastAsia" w:ascii="宋体" w:eastAsia="宋体" w:cs="宋体"/>
                <w:i w:val="0"/>
                <w:iCs w:val="0"/>
                <w:color w:val="000000"/>
                <w:sz w:val="20"/>
                <w:szCs w:val="20"/>
                <w:u w:val="none"/>
              </w:rPr>
            </w:pPr>
          </w:p>
        </w:tc>
      </w:tr>
      <w:tr w14:paraId="7F9B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8FF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EA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C3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8AB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73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14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DC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3411">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FD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C2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BA0B">
            <w:pPr>
              <w:jc w:val="center"/>
              <w:rPr>
                <w:rFonts w:hint="eastAsia" w:ascii="宋体" w:eastAsia="宋体" w:cs="宋体"/>
                <w:i w:val="0"/>
                <w:iCs w:val="0"/>
                <w:color w:val="000000"/>
                <w:sz w:val="20"/>
                <w:szCs w:val="20"/>
                <w:u w:val="none"/>
              </w:rPr>
            </w:pPr>
          </w:p>
        </w:tc>
      </w:tr>
      <w:tr w14:paraId="4236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3A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BE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A6A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23BE">
            <w:pPr>
              <w:rPr>
                <w:rFonts w:hint="eastAsia" w:ascii="宋体" w:eastAsia="宋体" w:cs="宋体"/>
                <w:i w:val="0"/>
                <w:iCs w:val="0"/>
                <w:color w:val="000000"/>
                <w:sz w:val="20"/>
                <w:szCs w:val="20"/>
                <w:u w:val="none"/>
              </w:rPr>
            </w:pPr>
          </w:p>
        </w:tc>
      </w:tr>
      <w:tr w14:paraId="6BF9E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7A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511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8月20日至8月22日，第四届青少年书画传习大会全省决赛暨嘉年华活动举行，我市参赛学生王媛、胥智邦获中国书法一等奖，刘思诚获中国书法三等奖；罗思颖、李润芝、何晶、齐娅琼获中国画三等奖；黄博获教学课例二等奖，何龙、龙泉获三等奖，共10人次获奖。我市已连续四届在青少年书画传习大会全省决赛中收获一等奖，王媛连续三届，李润芝、齐娅琼连续两届在全省决赛中获奖。通过持续举办青少年书画传习大会，我市不断健全书画艺术青少年传习体系，推动中华优秀传统文化创造性转化、创新性发展走深走实。赛事累计覆盖全市数千名中小学生，先后选拔近百名优秀选手征战全省决赛，既为青少年搭建了展示才艺、切磋技艺的优质平台，也全面夯实了我市书画艺术传承的青少年根基，有效推动美育教育与文化传承深度融合。</w:t>
            </w:r>
          </w:p>
        </w:tc>
      </w:tr>
      <w:tr w14:paraId="64E3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97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B86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DB2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41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76C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9931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AB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项目负责人：付强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A52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0DA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DFDB">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C85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11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C59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51190025T000013171152-2025年年初部门预算特定目标类项目203001市委宣传部乡村文化振兴暨文化进万家工作经费</w:t>
            </w:r>
          </w:p>
        </w:tc>
      </w:tr>
      <w:tr w14:paraId="28522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816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F3D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6E42E91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85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6EAF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E3A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0A6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C7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E9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722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F45B"/>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D395"/>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62D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拧紧中央、省委要求，创新实施乡村文化振兴“百千万”工程，做好脱贫攻坚与乡村振兴“接力棒”的文化交接，擘画蜀地乡村振兴新图景；组织开展“我们的中国梦—文化进万家”系列文化惠民活动，为群众提供高质量的精神文化产品</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9AB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11月4日晚，四川省第五届乡村文化振兴魅力竞演大赛决赛在巴中市举行，平昌县邱家镇获全省三等奖。</w:t>
            </w:r>
          </w:p>
        </w:tc>
      </w:tr>
      <w:tr w14:paraId="1007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27B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DE2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101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11月4日晚，四川省第五届乡村文化振兴魅力竞演大赛决赛在巴中市举行，全省10支队伍同台竞技，平昌县邱家镇获全省三等奖。</w:t>
            </w:r>
          </w:p>
        </w:tc>
      </w:tr>
      <w:tr w14:paraId="6544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A4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B7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94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60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5C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6D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D9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4A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A6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4D9E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1A7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DA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C3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2E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7BF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AC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F6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3D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BD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7ED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ADF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A0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05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6D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4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16.60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198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D2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00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F317"/>
        </w:tc>
      </w:tr>
      <w:tr w14:paraId="0672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761A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32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BEB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3F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16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CB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88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0E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5E5F"/>
        </w:tc>
      </w:tr>
      <w:tr w14:paraId="3D2A3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9B9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1F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22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D9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55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30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64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CD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9FA1"/>
        </w:tc>
      </w:tr>
      <w:tr w14:paraId="7F0A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AC1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92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E70E">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9892">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BEBC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58FF">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43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D3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601F"/>
        </w:tc>
      </w:tr>
      <w:tr w14:paraId="1451B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E2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907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2B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EC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32F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93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689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9E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5E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83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77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60C5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5FD3"/>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F78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07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EC7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举办乡村文化振兴市级魅力竞演</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E2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F1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C3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B3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B0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63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2F91">
            <w:pPr>
              <w:jc w:val="center"/>
              <w:rPr>
                <w:rFonts w:hint="eastAsia" w:ascii="宋体" w:eastAsia="宋体" w:cs="宋体"/>
                <w:i w:val="0"/>
                <w:iCs w:val="0"/>
                <w:color w:val="000000"/>
                <w:sz w:val="20"/>
                <w:szCs w:val="20"/>
                <w:u w:val="none"/>
              </w:rPr>
            </w:pPr>
          </w:p>
        </w:tc>
      </w:tr>
      <w:tr w14:paraId="34B5F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2614"/>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EC90"/>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EEA7"/>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61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开展群众性文艺展演</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6B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8D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2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08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A4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96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80DB">
            <w:pPr>
              <w:jc w:val="center"/>
              <w:rPr>
                <w:rFonts w:hint="eastAsia" w:ascii="宋体" w:eastAsia="宋体" w:cs="宋体"/>
                <w:i w:val="0"/>
                <w:iCs w:val="0"/>
                <w:color w:val="000000"/>
                <w:sz w:val="20"/>
                <w:szCs w:val="20"/>
                <w:u w:val="none"/>
              </w:rPr>
            </w:pPr>
          </w:p>
        </w:tc>
      </w:tr>
      <w:tr w14:paraId="4F26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95AC"/>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2E66"/>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CF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80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高质量完成魅力竞演，并参加省级评选</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14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8F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62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1C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81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52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5AC7">
            <w:pPr>
              <w:jc w:val="center"/>
              <w:rPr>
                <w:rFonts w:hint="eastAsia" w:ascii="宋体" w:eastAsia="宋体" w:cs="宋体"/>
                <w:i w:val="0"/>
                <w:iCs w:val="0"/>
                <w:color w:val="000000"/>
                <w:sz w:val="20"/>
                <w:szCs w:val="20"/>
                <w:u w:val="none"/>
              </w:rPr>
            </w:pPr>
          </w:p>
        </w:tc>
      </w:tr>
      <w:tr w14:paraId="47CF5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C59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52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08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58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为群众提供高质量的精神文化产品,提升社会文明程度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51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3D4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244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A1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FB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D0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E29C">
            <w:pPr>
              <w:jc w:val="center"/>
              <w:rPr>
                <w:rFonts w:hint="eastAsia" w:ascii="宋体" w:eastAsia="宋体" w:cs="宋体"/>
                <w:i w:val="0"/>
                <w:iCs w:val="0"/>
                <w:color w:val="000000"/>
                <w:sz w:val="20"/>
                <w:szCs w:val="20"/>
                <w:u w:val="none"/>
              </w:rPr>
            </w:pPr>
          </w:p>
        </w:tc>
      </w:tr>
      <w:tr w14:paraId="4D7C3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0FF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4D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A2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D4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82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5F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BA204">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2C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78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37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A642">
            <w:pPr>
              <w:jc w:val="center"/>
              <w:rPr>
                <w:rFonts w:hint="eastAsia" w:ascii="宋体" w:eastAsia="宋体" w:cs="宋体"/>
                <w:i w:val="0"/>
                <w:iCs w:val="0"/>
                <w:color w:val="000000"/>
                <w:sz w:val="20"/>
                <w:szCs w:val="20"/>
                <w:u w:val="none"/>
              </w:rPr>
            </w:pPr>
          </w:p>
        </w:tc>
      </w:tr>
      <w:tr w14:paraId="0D33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F20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C4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4E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FF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010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8E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A6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CAAA">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87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F9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92CE">
            <w:pPr>
              <w:jc w:val="center"/>
              <w:rPr>
                <w:rFonts w:hint="eastAsia" w:ascii="宋体" w:eastAsia="宋体" w:cs="宋体"/>
                <w:i w:val="0"/>
                <w:iCs w:val="0"/>
                <w:color w:val="000000"/>
                <w:sz w:val="20"/>
                <w:szCs w:val="20"/>
                <w:u w:val="none"/>
              </w:rPr>
            </w:pPr>
          </w:p>
        </w:tc>
      </w:tr>
      <w:tr w14:paraId="3B6C8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F2B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70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2B30">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4A60">
            <w:pPr>
              <w:rPr>
                <w:rFonts w:hint="eastAsia" w:ascii="宋体" w:eastAsia="宋体" w:cs="宋体"/>
                <w:i w:val="0"/>
                <w:iCs w:val="0"/>
                <w:color w:val="000000"/>
                <w:sz w:val="20"/>
                <w:szCs w:val="20"/>
                <w:u w:val="none"/>
              </w:rPr>
            </w:pPr>
          </w:p>
        </w:tc>
      </w:tr>
      <w:tr w14:paraId="3FEB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6B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356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2025年，9月19日“四川‘乡’当潮 巴中立潮头”四川省第五届乡村文化振兴魅力竞演大赛（巴中赛区）市级竞演成功举行，南江县杨坝镇脱获一等奖，平昌县板庙镇、平昌县邱家镇获二等奖，南江县集州街道办事处、巴中经开区兴文街道办事处、巴州区宕梁街道办事处获得三等奖，通江县民胜镇、恩阳区登科街道办事处、恩阳区尹家镇、通江县广纳镇、巴中文旅示范区、巴州区东城街道办事处获魅力乡镇奖，充分展示了乡村文化的深厚底蕴和创新活力。11月4日，四川省第五届乡村文化振兴魅力竞演省级决赛暨2025年四川“百城千乡万村（社区）”全民健身之夜在巴中举行，平昌县邱家镇《青芽情》获得“金蜀稻”三等奖。巴中成为全省既举办过全省启动仪式又举办过省级决赛的市州。赛事以舞台为载体，全面唤醒乡村沉淀的文化瑰宝，推动巴文化、川北民歌等一大批本土文化、非遗项目完成创造性转化。通过竞演作品的艺术打磨和广泛传播，让原本小众的乡土文化实现破圈，真正实现 “让乡土文化活起来、火起来”。</w:t>
            </w:r>
          </w:p>
        </w:tc>
      </w:tr>
      <w:tr w14:paraId="5951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67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24B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0CA1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7B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5EE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0233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714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项目负责人：付强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09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4E7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C16C">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988B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4581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A9C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51190026T000014242480-2024年专项外宣合作经费</w:t>
            </w:r>
          </w:p>
        </w:tc>
      </w:tr>
      <w:tr w14:paraId="37B6A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041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849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7F8239B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142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85C1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0B6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E95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335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D2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FE36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12D5"/>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E2D7"/>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EBF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进一步强化与人民日报等中央主流媒体的深度专项合作，进一步拓展与澎湃新闻、南方周末等省外主流新媒体主题宣传渠道，切实完善媒体合作矩阵，提升巴中城市营销质效。</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DAA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进一步强化与人民日报等中央主流媒体的深度专项合作，进一步拓展与澎湃新闻、南方周末等省外主流新媒体主题宣传渠道，切实完善媒体合作矩阵，提升巴中城市营销质效。</w:t>
            </w:r>
          </w:p>
        </w:tc>
      </w:tr>
      <w:tr w14:paraId="12A0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E64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FE5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DA7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城乡居民幸福生活八大工程等重大会议活动策划35个，特别是全国新兴媒体巴中行活动，由极目新闻牵头，邀请澎湃新闻、大风新闻、大皖新闻、现代都市报等20余家媒体，共发布活动稿件数量达350多次，其中策划采写原创及深度稿件13篇，制作发布原创视频12个，设计发布海报25幅，在视频号及微博联动发布热点话题#巴中向新振兴提速#用欣赏的眼光看巴中#，全网总阅读量超过3000万。极目新闻联动其他主流媒体和网络大V博主15人以上，发布视频及图文宜传达100多次，据统计，“老区新动能 振兴加速度”一2025 全国新兴主流媒体巴中行活动的全网总阅读量超过5000万。</w:t>
            </w:r>
          </w:p>
        </w:tc>
      </w:tr>
      <w:tr w14:paraId="2DFA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7D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E1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299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87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AD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37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9EE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6D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14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4B8EA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B89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66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84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56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8C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864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4ABC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88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68DF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09C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C4A7"/>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15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FE9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3FE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56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F4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F5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4B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91F1"/>
        </w:tc>
      </w:tr>
      <w:tr w14:paraId="6844D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91C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CC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82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2D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FE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19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4A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4D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98BB"/>
        </w:tc>
      </w:tr>
      <w:tr w14:paraId="57518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4EC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23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54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13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F29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78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5B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57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CFB0"/>
        </w:tc>
      </w:tr>
      <w:tr w14:paraId="5961E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C55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D2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3BEA">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CCCA">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A0D2">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A635">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12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67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4CAC"/>
        </w:tc>
      </w:tr>
      <w:tr w14:paraId="3DD8F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B62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01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13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6E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D0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44A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BB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5A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69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A5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30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37C79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A7D4"/>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58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00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2D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合作媒体数量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851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AC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C3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35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7</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72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36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E659">
            <w:pPr>
              <w:jc w:val="center"/>
              <w:rPr>
                <w:rFonts w:hint="eastAsia" w:ascii="宋体" w:eastAsia="宋体" w:cs="宋体"/>
                <w:i w:val="0"/>
                <w:iCs w:val="0"/>
                <w:color w:val="000000"/>
                <w:sz w:val="20"/>
                <w:szCs w:val="20"/>
                <w:u w:val="none"/>
              </w:rPr>
            </w:pPr>
          </w:p>
        </w:tc>
      </w:tr>
      <w:tr w14:paraId="19E0D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CCE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BFA1"/>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13C3"/>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10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刊发稿件数量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A8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C8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4D9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0B8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67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E7F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002D">
            <w:pPr>
              <w:jc w:val="center"/>
              <w:rPr>
                <w:rFonts w:hint="eastAsia" w:ascii="宋体" w:eastAsia="宋体" w:cs="宋体"/>
                <w:i w:val="0"/>
                <w:iCs w:val="0"/>
                <w:color w:val="000000"/>
                <w:sz w:val="20"/>
                <w:szCs w:val="20"/>
                <w:u w:val="none"/>
              </w:rPr>
            </w:pPr>
          </w:p>
        </w:tc>
      </w:tr>
      <w:tr w14:paraId="7808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1D7C"/>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E84A"/>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B4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42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E3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93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D8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35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0CA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FB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266C">
            <w:pPr>
              <w:jc w:val="center"/>
              <w:rPr>
                <w:rFonts w:hint="eastAsia" w:ascii="宋体" w:eastAsia="宋体" w:cs="宋体"/>
                <w:i w:val="0"/>
                <w:iCs w:val="0"/>
                <w:color w:val="000000"/>
                <w:sz w:val="20"/>
                <w:szCs w:val="20"/>
                <w:u w:val="none"/>
              </w:rPr>
            </w:pPr>
          </w:p>
        </w:tc>
      </w:tr>
      <w:tr w14:paraId="25D6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377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7D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56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5E8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提升巴中对外宣传形象</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FE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C3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B44D">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E0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62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75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DC8E">
            <w:pPr>
              <w:jc w:val="center"/>
              <w:rPr>
                <w:rFonts w:hint="eastAsia" w:ascii="宋体" w:eastAsia="宋体" w:cs="宋体"/>
                <w:i w:val="0"/>
                <w:iCs w:val="0"/>
                <w:color w:val="000000"/>
                <w:sz w:val="20"/>
                <w:szCs w:val="20"/>
                <w:u w:val="none"/>
              </w:rPr>
            </w:pPr>
          </w:p>
        </w:tc>
      </w:tr>
      <w:tr w14:paraId="34CF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59E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25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26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5E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2E6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00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0D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37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3A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A1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B398">
            <w:pPr>
              <w:jc w:val="center"/>
              <w:rPr>
                <w:rFonts w:hint="eastAsia" w:ascii="宋体" w:eastAsia="宋体" w:cs="宋体"/>
                <w:i w:val="0"/>
                <w:iCs w:val="0"/>
                <w:color w:val="000000"/>
                <w:sz w:val="20"/>
                <w:szCs w:val="20"/>
                <w:u w:val="none"/>
              </w:rPr>
            </w:pPr>
          </w:p>
        </w:tc>
      </w:tr>
      <w:tr w14:paraId="6D2CD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278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11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F8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A8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宣传经费</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5B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B3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B0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BF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0E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62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7906">
            <w:pPr>
              <w:jc w:val="center"/>
              <w:rPr>
                <w:rFonts w:hint="eastAsia" w:ascii="宋体" w:eastAsia="宋体" w:cs="宋体"/>
                <w:i w:val="0"/>
                <w:iCs w:val="0"/>
                <w:color w:val="000000"/>
                <w:sz w:val="20"/>
                <w:szCs w:val="20"/>
                <w:u w:val="none"/>
              </w:rPr>
            </w:pPr>
          </w:p>
        </w:tc>
      </w:tr>
      <w:tr w14:paraId="1692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44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F4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0496">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B32C">
            <w:pPr>
              <w:rPr>
                <w:rFonts w:hint="eastAsia" w:ascii="宋体" w:eastAsia="宋体" w:cs="宋体"/>
                <w:i w:val="0"/>
                <w:iCs w:val="0"/>
                <w:color w:val="000000"/>
                <w:sz w:val="20"/>
                <w:szCs w:val="20"/>
                <w:u w:val="none"/>
              </w:rPr>
            </w:pPr>
          </w:p>
        </w:tc>
      </w:tr>
      <w:tr w14:paraId="2EF3C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C8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32A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不断深化与中央主流媒体的合作，进一步拓展与澎湃新闻、极目新闻、南方周末、红星新闻的合作，2025年，合作的新兴媒体发稿500余条（篇），巴中的知名度和美誉度不断提升，真正实现了“扬正控负”的良好舆论环境。</w:t>
            </w:r>
          </w:p>
        </w:tc>
      </w:tr>
      <w:tr w14:paraId="3D6E2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38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366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A74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20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167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19DA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BD0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A29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393B9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913D">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242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9D4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904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51190025T000013992760-第十二届巴人文化艺术节宣传策划活动经费</w:t>
            </w:r>
          </w:p>
        </w:tc>
      </w:tr>
      <w:tr w14:paraId="09677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3C8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B49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570A4F2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3B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20E6E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B8B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ABE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20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CA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6D91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E58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4B95B"/>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5CF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邀请中央、省级媒体赴巴中对巴人文化艺术节及巴中社会经济发展进行宣传报道，进一步提升巴中的知名度和影响力。</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1EA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邀请人民网、新华社、中新社、中国网、四川日报、四川广播电视台等中省媒体赴巴中就第十二届巴人文化艺术节及巴中经济社会发展进行深度宣传报道，进一步提升了巴中的知名度和美誉度。</w:t>
            </w:r>
          </w:p>
        </w:tc>
      </w:tr>
      <w:tr w14:paraId="2AD5E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731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CB4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6B3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邀请中省主流媒体，围绕第十二届巴人文化艺术节展开策划，涵盖展示《晏阳初》首演、“天下米仓 四龛福城”、大型摄影美术书法展等多个宣传策划主题，并在海内外各大平台传播。不断提升巴文化的影响力。截至2025年9月底，我方已全部执行完成协议要求的全部内容，全平台推送巴文化相关作品共300余条，累计覆盖人群超6000+万人次，全网累计阅读量破6800+万人次，形成广泛传播声势。</w:t>
            </w:r>
          </w:p>
        </w:tc>
      </w:tr>
      <w:tr w14:paraId="1746C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C4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AA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84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72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33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6C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2B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93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E9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ACE5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2F0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75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0F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5C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E4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21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BA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9E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E51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9D30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813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1B4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A5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6D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A8C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DC2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CD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64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57B1"/>
        </w:tc>
      </w:tr>
      <w:tr w14:paraId="241FE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733C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4B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D9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D1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79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C5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CC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17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1BDF"/>
        </w:tc>
      </w:tr>
      <w:tr w14:paraId="3AD6E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A95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AB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32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FF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CE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D6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21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61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627F"/>
        </w:tc>
      </w:tr>
      <w:tr w14:paraId="63BAE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EA57"/>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33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DA83">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F96E">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E244">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40F0">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8F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14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7785"/>
        </w:tc>
      </w:tr>
      <w:tr w14:paraId="6C29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30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BC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16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64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86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3B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41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2F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98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CC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1B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1E9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4611"/>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D0E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AB8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8D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邀请媒体数量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A90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0D9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96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ED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D4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30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D475">
            <w:pPr>
              <w:jc w:val="center"/>
              <w:rPr>
                <w:rFonts w:hint="eastAsia" w:ascii="宋体" w:eastAsia="宋体" w:cs="宋体"/>
                <w:i w:val="0"/>
                <w:iCs w:val="0"/>
                <w:color w:val="000000"/>
                <w:sz w:val="20"/>
                <w:szCs w:val="20"/>
                <w:u w:val="none"/>
              </w:rPr>
            </w:pPr>
          </w:p>
        </w:tc>
      </w:tr>
      <w:tr w14:paraId="1FF0F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2031"/>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15A6"/>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CC3B"/>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16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宣传报道发稿量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44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C1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14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0D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AE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A3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233A1">
            <w:pPr>
              <w:jc w:val="center"/>
              <w:rPr>
                <w:rFonts w:hint="eastAsia" w:ascii="宋体" w:eastAsia="宋体" w:cs="宋体"/>
                <w:i w:val="0"/>
                <w:iCs w:val="0"/>
                <w:color w:val="000000"/>
                <w:sz w:val="20"/>
                <w:szCs w:val="20"/>
                <w:u w:val="none"/>
              </w:rPr>
            </w:pPr>
          </w:p>
        </w:tc>
      </w:tr>
      <w:tr w14:paraId="02A8F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C521"/>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2226"/>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DD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73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94A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64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C1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月</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A5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DF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B8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27DA">
            <w:pPr>
              <w:jc w:val="center"/>
              <w:rPr>
                <w:rFonts w:hint="eastAsia" w:ascii="宋体" w:eastAsia="宋体" w:cs="宋体"/>
                <w:i w:val="0"/>
                <w:iCs w:val="0"/>
                <w:color w:val="000000"/>
                <w:sz w:val="20"/>
                <w:szCs w:val="20"/>
                <w:u w:val="none"/>
              </w:rPr>
            </w:pPr>
          </w:p>
        </w:tc>
      </w:tr>
      <w:tr w14:paraId="0A77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DCF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95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6F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92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提升巴中知名度和影响力</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2E7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89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5A1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41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D2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BA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2E01">
            <w:pPr>
              <w:jc w:val="center"/>
              <w:rPr>
                <w:rFonts w:hint="eastAsia" w:ascii="宋体" w:eastAsia="宋体" w:cs="宋体"/>
                <w:i w:val="0"/>
                <w:iCs w:val="0"/>
                <w:color w:val="000000"/>
                <w:sz w:val="20"/>
                <w:szCs w:val="20"/>
                <w:u w:val="none"/>
              </w:rPr>
            </w:pPr>
          </w:p>
        </w:tc>
      </w:tr>
      <w:tr w14:paraId="1DCD3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CC6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CC2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63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C0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81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D2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8F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83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A8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E8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0C37">
            <w:pPr>
              <w:jc w:val="center"/>
              <w:rPr>
                <w:rFonts w:hint="eastAsia" w:ascii="宋体" w:eastAsia="宋体" w:cs="宋体"/>
                <w:i w:val="0"/>
                <w:iCs w:val="0"/>
                <w:color w:val="000000"/>
                <w:sz w:val="20"/>
                <w:szCs w:val="20"/>
                <w:u w:val="none"/>
              </w:rPr>
            </w:pPr>
          </w:p>
        </w:tc>
      </w:tr>
      <w:tr w14:paraId="7995D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98B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2C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54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32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资金成本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FF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5E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42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2D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43000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1E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E8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1C9B">
            <w:pPr>
              <w:jc w:val="center"/>
              <w:rPr>
                <w:rFonts w:hint="eastAsia" w:ascii="宋体" w:eastAsia="宋体" w:cs="宋体"/>
                <w:i w:val="0"/>
                <w:iCs w:val="0"/>
                <w:color w:val="000000"/>
                <w:sz w:val="20"/>
                <w:szCs w:val="20"/>
                <w:u w:val="none"/>
              </w:rPr>
            </w:pPr>
          </w:p>
        </w:tc>
      </w:tr>
      <w:tr w14:paraId="7C7AE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F5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09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127D">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4F57">
            <w:pPr>
              <w:rPr>
                <w:rFonts w:hint="eastAsia" w:ascii="宋体" w:eastAsia="宋体" w:cs="宋体"/>
                <w:i w:val="0"/>
                <w:iCs w:val="0"/>
                <w:color w:val="000000"/>
                <w:sz w:val="20"/>
                <w:szCs w:val="20"/>
                <w:u w:val="none"/>
              </w:rPr>
            </w:pPr>
          </w:p>
        </w:tc>
      </w:tr>
      <w:tr w14:paraId="3576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B6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3D8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整合资源、集成能力，精准策划、多元联动，坚持“保证效果、节俭高效”原则，高质量完成了第十二届巴人文化艺术节宣传工作。中央、省级、市级媒体发布艺术节稿件300余篇（条），全网浏览量突破5000万。借助巴人文化艺术节，实施招商引资、推进对外开放合作的成效；宣传第十二届巴人文化艺术节的主要活动动态及成效和巴中文旅发展的举措及成效。</w:t>
            </w:r>
          </w:p>
        </w:tc>
      </w:tr>
      <w:tr w14:paraId="1459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C8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ED4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7F2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1D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210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D4B7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EF1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70B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3968D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4518">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2F0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509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39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51190024T000011960306-公开征集巴中城市营销方案工作经费</w:t>
            </w:r>
          </w:p>
        </w:tc>
      </w:tr>
      <w:tr w14:paraId="5351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BF3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661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0CB3E56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AA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FF6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34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688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F1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7D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0D10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AFE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A120"/>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CD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为全面提升城市知名度和美誉度，助推巴中高质量发展，拟向全社会广泛征集巴中城市营销方案（包括但不限于以下方面内容：1. 巴中城市营销的主要内容。聚焦巴中城市营销什么，深度梳理巴中历史文化、地方风物等，根据资源优势和发展重点，提炼出巴中城市品牌建设内容体系，并为巴中量身打造城市IP，形成1句推介金句，配系列IP 应用符号。城市IP要体现专家创意与大众互动，具有明确的目标群体，具有互联网基因，自带流量，对吸引人群、树好形象导向明确。2. 巴中城市营销的方法路径。聚焦巴中城市怎么营销，遵循品牌建设原理，从城市整体营销系统思谋，为巴中城市品牌建设拟定具体方法路径。路径要适合巴中经济、社会、文化等各）</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996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2024年6月，我部启动了巴中城市营销方案征集活动，共收到符合条件方案551个，城市形象宣传语8383句。组织专家对方案进行了评审，分别评选出优秀方案20个，入围方案5个，中选方案1个。</w:t>
            </w:r>
          </w:p>
        </w:tc>
      </w:tr>
      <w:tr w14:paraId="640F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FC5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FA0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C38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市委外宣办启动了巴中城市营销方案征集活动，共收到符合条件方案551个，城市形象宣传语8383句。通过三轮组织本地及国内知名专家对征集到的巴中城市营销方案精心了评选，分别评选出优秀方案20个，入围方案5个，中选方案1个。</w:t>
            </w:r>
          </w:p>
        </w:tc>
      </w:tr>
      <w:tr w14:paraId="6A39D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0A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A9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FB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D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4C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2E6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D0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C6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E6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DE79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26F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4C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EF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D4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5F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78F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5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A0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FA3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BCD6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FA2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7A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42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90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A7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DA1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A3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13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4CD8"/>
        </w:tc>
      </w:tr>
      <w:tr w14:paraId="2F0A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50E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02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74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0C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21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FE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5B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66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DFCD"/>
        </w:tc>
      </w:tr>
      <w:tr w14:paraId="0390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18F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ED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13E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65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BA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27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F3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10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96788"/>
        </w:tc>
      </w:tr>
      <w:tr w14:paraId="243A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50D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57D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84A4">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7004">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E2E0">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29CE">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4E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36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B1C0"/>
        </w:tc>
      </w:tr>
      <w:tr w14:paraId="3855B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32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E6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5D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7A2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0F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1D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162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C08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30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28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3B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4805D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0AB4"/>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80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85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BF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向海内外公开征集营销方案</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677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51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B2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74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551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CE8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083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9ACC">
            <w:pPr>
              <w:jc w:val="center"/>
              <w:rPr>
                <w:rFonts w:hint="eastAsia" w:ascii="宋体" w:eastAsia="宋体" w:cs="宋体"/>
                <w:i w:val="0"/>
                <w:iCs w:val="0"/>
                <w:color w:val="000000"/>
                <w:sz w:val="20"/>
                <w:szCs w:val="20"/>
                <w:u w:val="none"/>
              </w:rPr>
            </w:pPr>
          </w:p>
        </w:tc>
      </w:tr>
      <w:tr w14:paraId="29DFE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1BCA"/>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765B"/>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4A20"/>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50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国内头部专家和本土专家专业评审</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24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841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28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6C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C6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EE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E694">
            <w:pPr>
              <w:jc w:val="center"/>
              <w:rPr>
                <w:rFonts w:hint="eastAsia" w:ascii="宋体" w:eastAsia="宋体" w:cs="宋体"/>
                <w:i w:val="0"/>
                <w:iCs w:val="0"/>
                <w:color w:val="000000"/>
                <w:sz w:val="20"/>
                <w:szCs w:val="20"/>
                <w:u w:val="none"/>
              </w:rPr>
            </w:pPr>
          </w:p>
        </w:tc>
      </w:tr>
      <w:tr w14:paraId="2AE2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F492"/>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1479"/>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A95F"/>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29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公开选取征集活动执行机构</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76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99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59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38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AB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D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3695">
            <w:pPr>
              <w:jc w:val="center"/>
              <w:rPr>
                <w:rFonts w:hint="eastAsia" w:ascii="宋体" w:eastAsia="宋体" w:cs="宋体"/>
                <w:i w:val="0"/>
                <w:iCs w:val="0"/>
                <w:color w:val="000000"/>
                <w:sz w:val="20"/>
                <w:szCs w:val="20"/>
                <w:u w:val="none"/>
              </w:rPr>
            </w:pPr>
          </w:p>
        </w:tc>
      </w:tr>
      <w:tr w14:paraId="64E6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014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C5E4"/>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31C9"/>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43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签订知识产权转让合同（含 营销指导服务）</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73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D8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30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39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9F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B9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C1AE">
            <w:pPr>
              <w:jc w:val="center"/>
              <w:rPr>
                <w:rFonts w:hint="eastAsia" w:ascii="宋体" w:eastAsia="宋体" w:cs="宋体"/>
                <w:i w:val="0"/>
                <w:iCs w:val="0"/>
                <w:color w:val="000000"/>
                <w:sz w:val="20"/>
                <w:szCs w:val="20"/>
                <w:u w:val="none"/>
              </w:rPr>
            </w:pPr>
          </w:p>
        </w:tc>
      </w:tr>
      <w:tr w14:paraId="5EC0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811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B2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595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54D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提升城市知名度和美誉度，助推巴中高质量发展</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54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64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41B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C4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F9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C5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BD97">
            <w:pPr>
              <w:jc w:val="center"/>
              <w:rPr>
                <w:rFonts w:hint="eastAsia" w:ascii="宋体" w:eastAsia="宋体" w:cs="宋体"/>
                <w:i w:val="0"/>
                <w:iCs w:val="0"/>
                <w:color w:val="000000"/>
                <w:sz w:val="20"/>
                <w:szCs w:val="20"/>
                <w:u w:val="none"/>
              </w:rPr>
            </w:pPr>
          </w:p>
        </w:tc>
      </w:tr>
      <w:tr w14:paraId="36E7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7E3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31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35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E5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F82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5C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AFBA0">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89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BD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F5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4406">
            <w:pPr>
              <w:jc w:val="center"/>
              <w:rPr>
                <w:rFonts w:hint="eastAsia" w:ascii="宋体" w:eastAsia="宋体" w:cs="宋体"/>
                <w:i w:val="0"/>
                <w:iCs w:val="0"/>
                <w:color w:val="000000"/>
                <w:sz w:val="20"/>
                <w:szCs w:val="20"/>
                <w:u w:val="none"/>
              </w:rPr>
            </w:pPr>
          </w:p>
        </w:tc>
      </w:tr>
      <w:tr w14:paraId="497AB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272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79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D1F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B1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FC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AB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287.55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A9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8D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33.95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52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49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6BED">
            <w:pPr>
              <w:jc w:val="center"/>
              <w:rPr>
                <w:rFonts w:hint="eastAsia" w:ascii="宋体" w:eastAsia="宋体" w:cs="宋体"/>
                <w:i w:val="0"/>
                <w:iCs w:val="0"/>
                <w:color w:val="000000"/>
                <w:sz w:val="20"/>
                <w:szCs w:val="20"/>
                <w:u w:val="none"/>
              </w:rPr>
            </w:pPr>
          </w:p>
        </w:tc>
      </w:tr>
      <w:tr w14:paraId="0463F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762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EF7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E7C5">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011B">
            <w:pPr>
              <w:rPr>
                <w:rFonts w:hint="eastAsia" w:ascii="宋体" w:eastAsia="宋体" w:cs="宋体"/>
                <w:i w:val="0"/>
                <w:iCs w:val="0"/>
                <w:color w:val="000000"/>
                <w:sz w:val="20"/>
                <w:szCs w:val="20"/>
                <w:u w:val="none"/>
              </w:rPr>
            </w:pPr>
          </w:p>
        </w:tc>
      </w:tr>
      <w:tr w14:paraId="62113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B2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048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城市营销方案公开征集活动开展以来，共收到合格方案551个，金句8383句。（投稿单位或个人共 1033，省外占比94%）。对外既宣传推介了巴中，提升了巴中的知名度和美誉度，又征得了较为满意的方案。</w:t>
            </w:r>
          </w:p>
        </w:tc>
      </w:tr>
      <w:tr w14:paraId="46A52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B9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D31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E850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45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75E1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0D3D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AE4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C1F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0AED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CAEB">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446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CD0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432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51190024T000012023027-高铁列车文旅广告宣传经费</w:t>
            </w:r>
          </w:p>
        </w:tc>
      </w:tr>
      <w:tr w14:paraId="2E811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58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3F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40859E7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05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15EF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31C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661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87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C7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B6F1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B1A7"/>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DEFB"/>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A06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为提升“诗意山水红色巴中”的知名度和美誉度，拟于2024年6月至2025年6月在巴中-成都、巴中-重庆高铁列车上通过车身贴+车厢内部广告+列车视频等9种形式投放文旅宣传广告</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A8D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2024年6月至2025年6月在巴中-成都、巴中-重庆高铁列车上通过车身贴+车厢内部广告+列车视频等9种形式投放文旅宣传广告</w:t>
            </w:r>
          </w:p>
        </w:tc>
      </w:tr>
      <w:tr w14:paraId="29F2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25F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F70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9B5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在成都—巴中、重庆—巴中、广州—北京—成都、上海—广州—成都重点线路的列车车厢内外投放文旅宣传广告；在成都东站、重庆北站、巴中东站、巴中西站重要高铁站站房投放文旅宣传广告；在汉中、南充高铁沿线城市的社区、商圈、城市地标投放文旅宣传广告,对外展示了巴中形象，提升知名度，避暑季、红叶节等时间节点巴中游客明显增长。</w:t>
            </w:r>
          </w:p>
        </w:tc>
      </w:tr>
      <w:tr w14:paraId="5238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EC0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4B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95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5D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08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9B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63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E6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D1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774F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B5F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E79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6F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F23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10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F3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05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37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B31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26517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511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21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54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33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FF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11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8DC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23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6BAC"/>
        </w:tc>
      </w:tr>
      <w:tr w14:paraId="3E3C0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D6B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BD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76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03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D5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8F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B7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62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7B16"/>
        </w:tc>
      </w:tr>
      <w:tr w14:paraId="54C4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BC3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CA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60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51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BC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5B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EB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14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80FD"/>
        </w:tc>
      </w:tr>
      <w:tr w14:paraId="3D1B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65C7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4D1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EE9E">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70FB">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ABE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DDD5">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03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63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3954"/>
        </w:tc>
      </w:tr>
      <w:tr w14:paraId="07A0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A3A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982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9B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841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3E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07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9A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A3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A9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FD9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58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7A51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F589"/>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15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AB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E36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广告形式</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91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BF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B4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DA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ED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BA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21DC">
            <w:pPr>
              <w:jc w:val="center"/>
              <w:rPr>
                <w:rFonts w:hint="eastAsia" w:ascii="宋体" w:eastAsia="宋体" w:cs="宋体"/>
                <w:i w:val="0"/>
                <w:iCs w:val="0"/>
                <w:color w:val="000000"/>
                <w:sz w:val="20"/>
                <w:szCs w:val="20"/>
                <w:u w:val="none"/>
              </w:rPr>
            </w:pPr>
          </w:p>
        </w:tc>
      </w:tr>
      <w:tr w14:paraId="39C3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EC42"/>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DE6A"/>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F91C"/>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AD2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投放时间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2B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98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C1E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99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E78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094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7D1B">
            <w:pPr>
              <w:jc w:val="center"/>
              <w:rPr>
                <w:rFonts w:hint="eastAsia" w:ascii="宋体" w:eastAsia="宋体" w:cs="宋体"/>
                <w:i w:val="0"/>
                <w:iCs w:val="0"/>
                <w:color w:val="000000"/>
                <w:sz w:val="20"/>
                <w:szCs w:val="20"/>
                <w:u w:val="none"/>
              </w:rPr>
            </w:pPr>
          </w:p>
        </w:tc>
      </w:tr>
      <w:tr w14:paraId="1999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430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4D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33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AE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提升“诗意山水红色巴中”的知名度和美誉度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07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80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7B7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B9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较好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C3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BE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0FB5">
            <w:pPr>
              <w:jc w:val="center"/>
              <w:rPr>
                <w:rFonts w:hint="eastAsia" w:ascii="宋体" w:eastAsia="宋体" w:cs="宋体"/>
                <w:i w:val="0"/>
                <w:iCs w:val="0"/>
                <w:color w:val="000000"/>
                <w:sz w:val="20"/>
                <w:szCs w:val="20"/>
                <w:u w:val="none"/>
              </w:rPr>
            </w:pPr>
          </w:p>
        </w:tc>
      </w:tr>
      <w:tr w14:paraId="5CF3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261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7A9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15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DB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90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80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05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86A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D2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FF8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559D">
            <w:pPr>
              <w:jc w:val="center"/>
              <w:rPr>
                <w:rFonts w:hint="eastAsia" w:ascii="宋体" w:eastAsia="宋体" w:cs="宋体"/>
                <w:i w:val="0"/>
                <w:iCs w:val="0"/>
                <w:color w:val="000000"/>
                <w:sz w:val="20"/>
                <w:szCs w:val="20"/>
                <w:u w:val="none"/>
              </w:rPr>
            </w:pPr>
          </w:p>
        </w:tc>
      </w:tr>
      <w:tr w14:paraId="0D5A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664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903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39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EF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77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1EC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2440000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EB1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02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50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C0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7049">
            <w:pPr>
              <w:jc w:val="center"/>
              <w:rPr>
                <w:rFonts w:hint="eastAsia" w:ascii="宋体" w:eastAsia="宋体" w:cs="宋体"/>
                <w:i w:val="0"/>
                <w:iCs w:val="0"/>
                <w:color w:val="000000"/>
                <w:sz w:val="20"/>
                <w:szCs w:val="20"/>
                <w:u w:val="none"/>
              </w:rPr>
            </w:pPr>
          </w:p>
        </w:tc>
      </w:tr>
      <w:tr w14:paraId="2FC5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9D7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7D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9049">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85FD">
            <w:pPr>
              <w:rPr>
                <w:rFonts w:hint="eastAsia" w:ascii="宋体" w:eastAsia="宋体" w:cs="宋体"/>
                <w:i w:val="0"/>
                <w:iCs w:val="0"/>
                <w:color w:val="000000"/>
                <w:sz w:val="20"/>
                <w:szCs w:val="20"/>
                <w:u w:val="none"/>
              </w:rPr>
            </w:pPr>
          </w:p>
        </w:tc>
      </w:tr>
      <w:tr w14:paraId="7FBF7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42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21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 xml:space="preserve">在巴中-成都、巴中-重庆等高铁列车上通过车身贴+车厢内部广告+列车视频等9种形式投放文旅宣传广告，对外展示了巴中的影响，提高了巴中的知名度和美誉度，五一、国庆、光雾山红叶节等节庆活动期间前来巴中观光旅游的客人直线上升。   </w:t>
            </w:r>
          </w:p>
        </w:tc>
      </w:tr>
      <w:tr w14:paraId="1B0D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091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635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8915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E1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18B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6790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56C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CE9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7B70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BF80">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694DF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84A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0E1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51190025T000013903689-外宣策划及合作经费</w:t>
            </w:r>
          </w:p>
        </w:tc>
      </w:tr>
      <w:tr w14:paraId="2E0D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0FC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1A7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49E655F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56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31704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D93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2D7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5D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5B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02FF6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AEA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3633"/>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529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人民日报、新华社、四川电视台、重庆日报等中央、省内外主流媒体年度合作、专项合作、活动组织等，持续宣传巴中“一市四区三地”建设成效，持续提升巴中对外知名度和影响力；助力巴中对外开放、招商引资，助力巴中高质量发展；展示巴中优良生态资源、旅游资源、文化资源，展示巴中生态本底和生态农业产品，展示巴中绿水青山就是金山银山的发展成果</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205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人民日报、新华社、四川电视台、重庆日报等中央、省内外主流媒体年度合作、专项合作、活动组织等，持续宣传巴中“一市四区三地”建设成效，持续提升巴中对外知名度和影响力；助力巴中对外开放、招商引资，助力巴中高质量发展；展示巴中优良生态资源、旅游资源、文化资源，展示巴中生态本底和生态农业产品，展示巴中绿水青山就是金山银山的发展成果</w:t>
            </w:r>
          </w:p>
        </w:tc>
      </w:tr>
      <w:tr w14:paraId="6D5C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4CC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F50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893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2025年对外宣传工作紧扣市委中心工作，先后策划开展了市“两会”、经济工作推进会、市委全会、第十二届巴人文化艺术节、中华龙舟赛等重大会议活动策划35个，持续围绕“打造企业容易做生意的地方”、城乡居民幸福生活八大工程、“诗意山水 红色巴中”等主题，邀请中省主流媒体、全国经济媒体、新兴媒体赴巴中开展深度采访报道，不断提升巴中的知名度和美誉度。特别是成功承办第十届全国党媒网站论坛暨总编辑看巴中活动，汇聚全国近100家主流媒体负责人和知名专家学者等200余位嘉宾。《人民日报》要闻版及整版深度报道活动，相关话题全网浏览量超过2亿。</w:t>
            </w:r>
          </w:p>
        </w:tc>
      </w:tr>
      <w:tr w14:paraId="608F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5A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35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92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8B22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CD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7D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65A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70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A4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01C6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7D4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A7A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25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ED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61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6E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C1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A06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18C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3B315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958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AC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FE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9A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D9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91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3E9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6B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E50C"/>
        </w:tc>
      </w:tr>
      <w:tr w14:paraId="19E6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62E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DE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0F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61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2D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66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CA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DC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BEE1"/>
        </w:tc>
      </w:tr>
      <w:tr w14:paraId="7BB9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8E3E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7A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04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A2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53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41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B07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7F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F75D"/>
        </w:tc>
      </w:tr>
      <w:tr w14:paraId="28F6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29B0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283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3FC7">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053F">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69D0">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098E">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14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49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A48F"/>
        </w:tc>
      </w:tr>
      <w:tr w14:paraId="27F1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203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69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DE1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23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0A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C88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09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E3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C8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2F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6B5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1C37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49D2"/>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603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00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F7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与中央、省级媒体专项合作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90B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904B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1F0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B6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9D1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2D3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1942">
            <w:pPr>
              <w:jc w:val="center"/>
              <w:rPr>
                <w:rFonts w:hint="eastAsia" w:ascii="宋体" w:eastAsia="宋体" w:cs="宋体"/>
                <w:i w:val="0"/>
                <w:iCs w:val="0"/>
                <w:color w:val="000000"/>
                <w:sz w:val="20"/>
                <w:szCs w:val="20"/>
                <w:u w:val="none"/>
              </w:rPr>
            </w:pPr>
          </w:p>
        </w:tc>
      </w:tr>
      <w:tr w14:paraId="5D5B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E20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D4F5"/>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E8E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66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推出深度原创 作品</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D7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13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A7A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7BF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1500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C2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102C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CD7E">
            <w:pPr>
              <w:jc w:val="center"/>
              <w:rPr>
                <w:rFonts w:hint="eastAsia" w:ascii="宋体" w:eastAsia="宋体" w:cs="宋体"/>
                <w:i w:val="0"/>
                <w:iCs w:val="0"/>
                <w:color w:val="000000"/>
                <w:sz w:val="20"/>
                <w:szCs w:val="20"/>
                <w:u w:val="none"/>
              </w:rPr>
            </w:pPr>
          </w:p>
        </w:tc>
      </w:tr>
      <w:tr w14:paraId="6C83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14E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7A8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E2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5F29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社会评价及知名度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01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4A8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A08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88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11B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E2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04BA">
            <w:pPr>
              <w:jc w:val="center"/>
              <w:rPr>
                <w:rFonts w:hint="eastAsia" w:ascii="宋体" w:eastAsia="宋体" w:cs="宋体"/>
                <w:i w:val="0"/>
                <w:iCs w:val="0"/>
                <w:color w:val="000000"/>
                <w:sz w:val="20"/>
                <w:szCs w:val="20"/>
                <w:u w:val="none"/>
              </w:rPr>
            </w:pPr>
          </w:p>
        </w:tc>
      </w:tr>
      <w:tr w14:paraId="63735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C65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10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00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8E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57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6ED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17B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4C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595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0D3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323A">
            <w:pPr>
              <w:jc w:val="center"/>
              <w:rPr>
                <w:rFonts w:hint="eastAsia" w:ascii="宋体" w:eastAsia="宋体" w:cs="宋体"/>
                <w:i w:val="0"/>
                <w:iCs w:val="0"/>
                <w:color w:val="000000"/>
                <w:sz w:val="20"/>
                <w:szCs w:val="20"/>
                <w:u w:val="none"/>
              </w:rPr>
            </w:pPr>
          </w:p>
        </w:tc>
      </w:tr>
      <w:tr w14:paraId="61C1B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830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09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232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58E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09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20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280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785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AD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149.56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12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68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7C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跨年度合作</w:t>
            </w:r>
          </w:p>
        </w:tc>
      </w:tr>
      <w:tr w14:paraId="4753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E8B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5A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2C84">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F36C">
            <w:pPr>
              <w:rPr>
                <w:rFonts w:hint="eastAsia" w:ascii="宋体" w:eastAsia="宋体" w:cs="宋体"/>
                <w:i w:val="0"/>
                <w:iCs w:val="0"/>
                <w:color w:val="000000"/>
                <w:sz w:val="20"/>
                <w:szCs w:val="20"/>
                <w:u w:val="none"/>
              </w:rPr>
            </w:pPr>
          </w:p>
        </w:tc>
      </w:tr>
      <w:tr w14:paraId="611E0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03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39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宣传推介巴中，主动对接各类媒体，差别喂料、分众服务，专人配合人民日报、新华社、央视拍摄图片、视频，组织活动配合网络直播，扩大了中央、省、市级主流媒体宣传中的老区声量。全市在中央、省级主流媒体刊发稿件7524篇（条）。其中，人民日报用稿62条（含人民日报客户端）；新华社用稿32条（含新华社客户端）；人民网用稿261条，新华网用稿37条；央视用稿182条，其中《新闻联播》13条；四川日报用稿145条；四川电视台用稿678条，其中《四川新闻联播》107条。进一步提升了巴中的知名度和美誉度。</w:t>
            </w:r>
          </w:p>
        </w:tc>
      </w:tr>
      <w:tr w14:paraId="6C95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6D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440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DF2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EFA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36B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3C7E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A4C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项目负责人：唐强</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BC6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5551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9702">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256D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C8B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E6C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51190025T000013170691-2025年年初部门预算特定目标类项目203001市委宣传部巴文化研究院经费</w:t>
            </w:r>
          </w:p>
        </w:tc>
      </w:tr>
      <w:tr w14:paraId="4B3CB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6E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0E3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68B7914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51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58B09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307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56B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D9AF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F2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7DC3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FA34"/>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986C"/>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35D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推动巴文化研究常态开展，完成课题研究任务，不断提高巴文化影响力，大力弘扬传统文化</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B51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结项重点课题25个，立项重点课题95个。“巴文化研究”微信公众号，关注人数超7500。正儿巴经系列短视频全网播放量超2000万，扩大了巴文化传播度。</w:t>
            </w:r>
          </w:p>
        </w:tc>
      </w:tr>
      <w:tr w14:paraId="5D8B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4A8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3537">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FEF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2024年巴文化研究院发布巴文化研究重点课题指南，收到课题申报102个，同比增长183%，经专家评审，立项95个，结项25个，资助课题经费5.9万元，课题数量和质量较2024年显著提升。用新媒体语言传播巴文化，拍摄巴文化IP“正儿巴经”系列短视频3全网播放量超1000万。</w:t>
            </w:r>
          </w:p>
        </w:tc>
      </w:tr>
      <w:tr w14:paraId="4741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328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B6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3B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E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DB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0A8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78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C33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F14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3943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DD7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98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1D88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9DB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E0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CD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1B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BE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540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071F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15C9"/>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F1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D73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23D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7DA5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B4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30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AFC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9FF9D"/>
        </w:tc>
      </w:tr>
      <w:tr w14:paraId="01F79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86F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BB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D6A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61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7B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71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B2B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1E1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0B0E"/>
        </w:tc>
      </w:tr>
      <w:tr w14:paraId="44BF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3FFC"/>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80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C03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48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AD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504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E09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D31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7F37"/>
        </w:tc>
      </w:tr>
      <w:tr w14:paraId="767E2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EBD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DD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AD54">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FA84">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9E21">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B56F">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EF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BE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36F2"/>
        </w:tc>
      </w:tr>
      <w:tr w14:paraId="0929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B18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AC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3B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909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1F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11E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4F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DD9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8B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841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0D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6D1B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CA219"/>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B71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FDF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D1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“巴文化研究”微信公众号</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81F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F2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42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52D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12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D9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0278">
            <w:pPr>
              <w:jc w:val="center"/>
              <w:rPr>
                <w:rFonts w:hint="eastAsia" w:ascii="宋体" w:eastAsia="宋体" w:cs="宋体"/>
                <w:i w:val="0"/>
                <w:iCs w:val="0"/>
                <w:color w:val="000000"/>
                <w:sz w:val="20"/>
                <w:szCs w:val="20"/>
                <w:u w:val="none"/>
              </w:rPr>
            </w:pPr>
          </w:p>
        </w:tc>
      </w:tr>
      <w:tr w14:paraId="2F33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C1CB"/>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88F7"/>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BC43"/>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F53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出版《巴中·巴文化简史》</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A3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B7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33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本</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2E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CB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16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F5C0">
            <w:pPr>
              <w:jc w:val="center"/>
              <w:rPr>
                <w:rFonts w:hint="eastAsia" w:ascii="宋体" w:eastAsia="宋体" w:cs="宋体"/>
                <w:i w:val="0"/>
                <w:iCs w:val="0"/>
                <w:color w:val="000000"/>
                <w:sz w:val="20"/>
                <w:szCs w:val="20"/>
                <w:u w:val="none"/>
              </w:rPr>
            </w:pPr>
          </w:p>
        </w:tc>
      </w:tr>
      <w:tr w14:paraId="2581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7C74"/>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38C3"/>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768B"/>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2C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“问语巴文化”学习论坛</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E5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C6F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B2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FA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CA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80C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770F">
            <w:pPr>
              <w:jc w:val="center"/>
              <w:rPr>
                <w:rFonts w:hint="eastAsia" w:ascii="宋体" w:eastAsia="宋体" w:cs="宋体"/>
                <w:i w:val="0"/>
                <w:iCs w:val="0"/>
                <w:color w:val="000000"/>
                <w:sz w:val="20"/>
                <w:szCs w:val="20"/>
                <w:u w:val="none"/>
              </w:rPr>
            </w:pPr>
          </w:p>
        </w:tc>
      </w:tr>
      <w:tr w14:paraId="4C0D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4E4E"/>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FF6D"/>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F5F8"/>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53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巴文化研究课题</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E1C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130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30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5BE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3D1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C0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9E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A947">
            <w:pPr>
              <w:jc w:val="center"/>
              <w:rPr>
                <w:rFonts w:hint="eastAsia" w:ascii="宋体" w:eastAsia="宋体" w:cs="宋体"/>
                <w:i w:val="0"/>
                <w:iCs w:val="0"/>
                <w:color w:val="000000"/>
                <w:sz w:val="20"/>
                <w:szCs w:val="20"/>
                <w:u w:val="none"/>
              </w:rPr>
            </w:pPr>
          </w:p>
        </w:tc>
      </w:tr>
      <w:tr w14:paraId="2C76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6E1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68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A5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335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宣传好巴中历史文化，提炼巴文化符号</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304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7C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8C9C">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19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4CC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37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CDC8">
            <w:pPr>
              <w:jc w:val="center"/>
              <w:rPr>
                <w:rFonts w:hint="eastAsia" w:ascii="宋体" w:eastAsia="宋体" w:cs="宋体"/>
                <w:i w:val="0"/>
                <w:iCs w:val="0"/>
                <w:color w:val="000000"/>
                <w:sz w:val="20"/>
                <w:szCs w:val="20"/>
                <w:u w:val="none"/>
              </w:rPr>
            </w:pPr>
          </w:p>
        </w:tc>
      </w:tr>
      <w:tr w14:paraId="7AFA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2F37"/>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A4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31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44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F5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3A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9F99">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F3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8FE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9D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1FBE">
            <w:pPr>
              <w:jc w:val="center"/>
              <w:rPr>
                <w:rFonts w:hint="eastAsia" w:ascii="宋体" w:eastAsia="宋体" w:cs="宋体"/>
                <w:i w:val="0"/>
                <w:iCs w:val="0"/>
                <w:color w:val="000000"/>
                <w:sz w:val="20"/>
                <w:szCs w:val="20"/>
                <w:u w:val="none"/>
              </w:rPr>
            </w:pPr>
          </w:p>
        </w:tc>
      </w:tr>
      <w:tr w14:paraId="3BA9A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A65F"/>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CD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31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C0F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07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A5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23</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068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4B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21.42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825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34A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0043">
            <w:pPr>
              <w:jc w:val="center"/>
              <w:rPr>
                <w:rFonts w:hint="eastAsia" w:ascii="宋体" w:eastAsia="宋体" w:cs="宋体"/>
                <w:i w:val="0"/>
                <w:iCs w:val="0"/>
                <w:color w:val="000000"/>
                <w:sz w:val="20"/>
                <w:szCs w:val="20"/>
                <w:u w:val="none"/>
              </w:rPr>
            </w:pPr>
          </w:p>
        </w:tc>
      </w:tr>
      <w:tr w14:paraId="21F3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E70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D1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3907">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D4DF">
            <w:pPr>
              <w:rPr>
                <w:rFonts w:hint="eastAsia" w:ascii="宋体" w:eastAsia="宋体" w:cs="宋体"/>
                <w:i w:val="0"/>
                <w:iCs w:val="0"/>
                <w:color w:val="000000"/>
                <w:sz w:val="20"/>
                <w:szCs w:val="20"/>
                <w:u w:val="none"/>
              </w:rPr>
            </w:pPr>
          </w:p>
        </w:tc>
      </w:tr>
      <w:tr w14:paraId="217FB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48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AB5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常态化开展课题研究，首部巴文化通史《巴中</w:t>
            </w:r>
            <w:r>
              <w:rPr>
                <w:rStyle w:val="37"/>
                <w:lang w:val="en-US" w:eastAsia="zh-CN"/>
              </w:rPr>
              <w:t>・</w:t>
            </w:r>
            <w:r>
              <w:rPr>
                <w:rFonts w:hint="eastAsia" w:ascii="宋体" w:eastAsia="宋体" w:cs="宋体"/>
                <w:i w:val="0"/>
                <w:iCs w:val="0"/>
                <w:color w:val="000000"/>
                <w:kern w:val="0"/>
                <w:sz w:val="20"/>
                <w:szCs w:val="20"/>
                <w:u w:val="none"/>
                <w:lang w:val="en-US" w:eastAsia="zh-CN"/>
              </w:rPr>
              <w:t>巴文化简史》，作为市委理论学习中心组参考材料，实现学术成果向决策参考的高效转化。“问语巴文化”系列讲坛。拍摄巴文化IP“正儿巴经”系列短视频3期，全网播放量超1000万，《四龛福城》短视频被多次二创，其中二创视频《千年米仓道 四龛幸福城》在天府广场大屏刊播。“巴文化研究”微信公众号推文98期，内容深受干部群众喜爱。</w:t>
            </w:r>
          </w:p>
        </w:tc>
      </w:tr>
      <w:tr w14:paraId="3773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7DB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1CD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是课题研究质量有待提升，高水平、原创性强的课题比例仍需提高。二是成果转化机制尚需完善，学术成果向公共服务、文旅深度融合等领域的应用转化路径不够清晰。三是“巴文化专家库”及“巴文化专家联合工作室”核心功能尚未实质性高效运转，资源整合与效能释放不足。四是品牌影响力覆盖广度和渗透深度仍需提升，数字资源整合与利用效率有待加强。</w:t>
            </w:r>
          </w:p>
        </w:tc>
      </w:tr>
      <w:tr w14:paraId="6A0C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187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6F6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聚焦学术提质：发布重点课题指南，围绕“巴文化与数字文旅”等方向产出精品成果；建强专家库与联合工作室，举办论坛调研；深化跨区域合作；在本地高校开设巴文化课程。强化传播：打造“正儿巴经”短视频，优化公众号运营，拓展抖音等平台合作，结合登高节、巴人文化艺术节策划线下活动。促进转化：探索“巴文化+”融合模式，推动石窟、米仓道数字化采集，建立数字资源库与素材库，赋能文创开发，服务地方经济。</w:t>
            </w:r>
          </w:p>
        </w:tc>
      </w:tr>
      <w:tr w14:paraId="047EF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2E6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项目负责人：朱敏</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B97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32FC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D12B">
            <w:pPr>
              <w:keepNext w:val="0"/>
              <w:keepLines w:val="0"/>
              <w:widowControl/>
              <w:suppressLineNumbers w:val="0"/>
              <w:jc w:val="center"/>
              <w:textAlignment w:val="center"/>
              <w:rPr>
                <w:rFonts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F34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0B19">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10D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51190025T000013243445-2025年年初部门预算特定目标类项目203001市委宣传部新时代文明实践中心工作经费</w:t>
            </w:r>
          </w:p>
        </w:tc>
      </w:tr>
      <w:tr w14:paraId="5F6AC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A73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FDB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1E1C39A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BA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F0B7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0EA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65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0EB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BD9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2175C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3904B"/>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28C2"/>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4D4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加强新时代文明实践中心建设，开展新时代文明实践教育活动，夯实基层精神文明建设阵地</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B05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完成新时代文明实践中心建设，开展新时代文明实践教育活动，夯实基层精神文明建设阵地。</w:t>
            </w:r>
          </w:p>
        </w:tc>
      </w:tr>
      <w:tr w14:paraId="07D5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0AD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B80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8AD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学雷锋·文明实践我行动、我在文明实践中心过佳节、我在文明实践中心过寒暑假、文明集市等文明实践活动5场次，召开新时代文明实践中心建设场推进会，开展文明实践理论宣讲活动。</w:t>
            </w:r>
          </w:p>
        </w:tc>
      </w:tr>
      <w:tr w14:paraId="5BB34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D4C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326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A9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D70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84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8DA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B44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1E6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8F0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2761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02A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66F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BD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8A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BFB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24D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16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E17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87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788B5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410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6CC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307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B2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98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13.31</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76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806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845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1B773"/>
        </w:tc>
      </w:tr>
      <w:tr w14:paraId="361D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898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66A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66F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E4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F70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FB3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89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DC6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28E"/>
        </w:tc>
      </w:tr>
      <w:tr w14:paraId="6AC84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EAE6"/>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5A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C5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AD4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889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481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E50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CB2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33E6"/>
        </w:tc>
      </w:tr>
      <w:tr w14:paraId="6288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BF3B"/>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DFB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1479">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7630">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E963">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CF8D">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EF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924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FB11C"/>
        </w:tc>
      </w:tr>
      <w:tr w14:paraId="5F64F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574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D54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98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BF4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A7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79D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DC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42D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45E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07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47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7C7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C7AC"/>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743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027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2B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开展新时代文明实践中心建设现场推进会</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B1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D6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A2D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45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AACF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9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DFC6">
            <w:pPr>
              <w:jc w:val="center"/>
              <w:rPr>
                <w:rFonts w:hint="eastAsia" w:ascii="宋体" w:eastAsia="宋体" w:cs="宋体"/>
                <w:i w:val="0"/>
                <w:iCs w:val="0"/>
                <w:color w:val="000000"/>
                <w:sz w:val="20"/>
                <w:szCs w:val="20"/>
                <w:u w:val="none"/>
              </w:rPr>
            </w:pPr>
          </w:p>
        </w:tc>
      </w:tr>
      <w:tr w14:paraId="35E4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7521F"/>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FD70"/>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3FDE"/>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E16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开展新时代文明实践活动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70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F6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4E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场次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65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49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B8B2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C119">
            <w:pPr>
              <w:jc w:val="center"/>
              <w:rPr>
                <w:rFonts w:hint="eastAsia" w:ascii="宋体" w:eastAsia="宋体" w:cs="宋体"/>
                <w:i w:val="0"/>
                <w:iCs w:val="0"/>
                <w:color w:val="000000"/>
                <w:sz w:val="20"/>
                <w:szCs w:val="20"/>
                <w:u w:val="none"/>
              </w:rPr>
            </w:pPr>
          </w:p>
        </w:tc>
      </w:tr>
      <w:tr w14:paraId="472E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F04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BF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DE7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5F8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夯实基层精神文明建设阵地，丰富人民群众文化生活</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62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CD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457F">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B8F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A40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F6C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00F5">
            <w:pPr>
              <w:jc w:val="center"/>
              <w:rPr>
                <w:rFonts w:hint="eastAsia" w:ascii="宋体" w:eastAsia="宋体" w:cs="宋体"/>
                <w:i w:val="0"/>
                <w:iCs w:val="0"/>
                <w:color w:val="000000"/>
                <w:sz w:val="20"/>
                <w:szCs w:val="20"/>
                <w:u w:val="none"/>
              </w:rPr>
            </w:pPr>
          </w:p>
        </w:tc>
      </w:tr>
      <w:tr w14:paraId="547E6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263A"/>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1FB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A4D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A5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人民群众满意度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01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B91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3DC6">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EB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DAFA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695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7131">
            <w:pPr>
              <w:jc w:val="center"/>
              <w:rPr>
                <w:rFonts w:hint="eastAsia" w:ascii="宋体" w:eastAsia="宋体" w:cs="宋体"/>
                <w:i w:val="0"/>
                <w:iCs w:val="0"/>
                <w:color w:val="000000"/>
                <w:sz w:val="20"/>
                <w:szCs w:val="20"/>
                <w:u w:val="none"/>
              </w:rPr>
            </w:pPr>
          </w:p>
        </w:tc>
      </w:tr>
      <w:tr w14:paraId="5C1B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338E"/>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08D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4FD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516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885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FB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71C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7F6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61B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D5C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CC01">
            <w:pPr>
              <w:jc w:val="center"/>
              <w:rPr>
                <w:rFonts w:hint="eastAsia" w:ascii="宋体" w:eastAsia="宋体" w:cs="宋体"/>
                <w:i w:val="0"/>
                <w:iCs w:val="0"/>
                <w:color w:val="000000"/>
                <w:sz w:val="20"/>
                <w:szCs w:val="20"/>
                <w:u w:val="none"/>
              </w:rPr>
            </w:pPr>
          </w:p>
        </w:tc>
      </w:tr>
      <w:tr w14:paraId="7935A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C9D5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34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39C9">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9C8C">
            <w:pPr>
              <w:rPr>
                <w:rFonts w:hint="eastAsia" w:ascii="宋体" w:eastAsia="宋体" w:cs="宋体"/>
                <w:i w:val="0"/>
                <w:iCs w:val="0"/>
                <w:color w:val="000000"/>
                <w:sz w:val="20"/>
                <w:szCs w:val="20"/>
                <w:u w:val="none"/>
              </w:rPr>
            </w:pPr>
          </w:p>
        </w:tc>
      </w:tr>
      <w:tr w14:paraId="1A9CE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F09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47A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学雷锋·文明实践我行动、我在文明实践中心过佳节、我在文明实践中心过寒暑假、文明集市等文明实践活动5场次，召开新时代文明实践中心建设现场推进会，开展文明实践理论宣讲活动。夯实基层精神文明建设阵地，丰富人民群众文化生活。</w:t>
            </w:r>
          </w:p>
        </w:tc>
      </w:tr>
      <w:tr w14:paraId="01BC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58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9A1A">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1064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05F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54E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9704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632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项目负责人：魏和平</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42A5">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r w14:paraId="1DB09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27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AFAD">
            <w:pPr>
              <w:keepNext w:val="0"/>
              <w:keepLines w:val="0"/>
              <w:widowControl/>
              <w:suppressLineNumbers w:val="0"/>
              <w:jc w:val="center"/>
              <w:textAlignment w:val="center"/>
              <w:rPr>
                <w:rFonts w:hint="eastAsia" w:ascii="方正小标宋简体" w:eastAsia="方正小标宋简体" w:cs="方正小标宋简体"/>
                <w:i w:val="0"/>
                <w:iCs w:val="0"/>
                <w:color w:val="000000"/>
                <w:sz w:val="36"/>
                <w:szCs w:val="36"/>
                <w:u w:val="none"/>
              </w:rPr>
            </w:pPr>
            <w:r>
              <w:rPr>
                <w:rFonts w:hint="eastAsia" w:ascii="方正小标宋简体" w:eastAsia="方正小标宋简体" w:cs="方正小标宋简体"/>
                <w:i w:val="0"/>
                <w:iCs w:val="0"/>
                <w:color w:val="000000"/>
                <w:kern w:val="0"/>
                <w:sz w:val="36"/>
                <w:szCs w:val="36"/>
                <w:u w:val="none"/>
                <w:lang w:val="en-US" w:eastAsia="zh-CN"/>
              </w:rPr>
              <w:t>部门预算项目支出绩效自评表（2025年度）</w:t>
            </w:r>
          </w:p>
        </w:tc>
      </w:tr>
      <w:tr w14:paraId="08E5D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1983">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项目名称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4C7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51190025T000013169665-2025年年初部门预算特定目标类项目203001市委宣传部未成人思想道德建设经费</w:t>
            </w:r>
          </w:p>
        </w:tc>
      </w:tr>
      <w:tr w14:paraId="778BB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F6DC">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主管部门</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E09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中国共产党巴中市委员会宣传部部门</w:t>
            </w:r>
          </w:p>
        </w:tc>
        <w:tc>
          <w:tcPr>
            <w:tcW w:w="1095" w:type="dxa"/>
            <w:tcBorders>
              <w:top w:val="nil"/>
              <w:left w:val="nil"/>
              <w:bottom w:val="nil"/>
              <w:right w:val="nil"/>
            </w:tcBorders>
            <w:shd w:val="clear" w:color="auto" w:fill="auto"/>
            <w:noWrap/>
            <w:vAlign w:val="center"/>
          </w:tcPr>
          <w:p w14:paraId="5C104F11">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实施单位 （盖章）</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744C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中国共产党巴中市委员会宣传部</w:t>
            </w:r>
          </w:p>
        </w:tc>
      </w:tr>
      <w:tr w14:paraId="00CB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0FC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项目基本情况</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F84D">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1.项目年度目标完成情况</w:t>
            </w:r>
          </w:p>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9A9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项目年度目标</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265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年度目标完成情况</w:t>
            </w:r>
          </w:p>
        </w:tc>
      </w:tr>
      <w:tr w14:paraId="18EB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AD01"/>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3EB1"/>
        </w:tc>
        <w:tc>
          <w:tcPr>
            <w:tcW w:w="62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B41E">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按照中央和省市委工作要求，完成未成年人（公民）思想道德建设工作，保障未成年人（公民思想道德建设）工作有效开展</w:t>
            </w:r>
          </w:p>
        </w:tc>
        <w:tc>
          <w:tcPr>
            <w:tcW w:w="42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77E6">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按照中央和省市委工作要求，完成未成年人（公民）思想道德建设工作，保障未成年人（公民思想道德建设）工作有效开展</w:t>
            </w:r>
          </w:p>
        </w:tc>
      </w:tr>
      <w:tr w14:paraId="74D8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1384"/>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FFCF">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2.项目实施内容及过程概述</w:t>
            </w:r>
          </w:p>
        </w:tc>
        <w:tc>
          <w:tcPr>
            <w:tcW w:w="104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D56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 xml:space="preserve">  围绕中央和省市委工作要求，开展“新时代好少年”学习宣传推介活动、“童声里的中国”少儿歌咏活动，全国文明校园创建、乡村学校少年宫成果展示交流活动等各类活动8场次，召开全市未成年人思想道德建设工作现场推进会，持续深化未成年人“扣好人生第一粒扣子”主题教育实践活动，开展童谣传唱、未成年人网络沉迷宣传教育等活动20余场次。</w:t>
            </w:r>
          </w:p>
        </w:tc>
      </w:tr>
      <w:tr w14:paraId="28BD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4C0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预算执行情况（10分）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2A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CF4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EF2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调整后预算数</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75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DA3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537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73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4E7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原因</w:t>
            </w:r>
          </w:p>
        </w:tc>
      </w:tr>
      <w:tr w14:paraId="56BC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6913"/>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3B0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78D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36D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194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86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679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858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8300">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5BB38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A105"/>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156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0E4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6ED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4F1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3B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FE3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517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56C2"/>
        </w:tc>
      </w:tr>
      <w:tr w14:paraId="10D3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5D28"/>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55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A2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09A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3FC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05B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EA0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A99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74F6"/>
        </w:tc>
      </w:tr>
      <w:tr w14:paraId="756B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1537"/>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EEF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7A0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0DC6">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655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306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65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FA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630D"/>
        </w:tc>
      </w:tr>
      <w:tr w14:paraId="3F86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ED9D"/>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E6D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D211">
            <w:pPr>
              <w:jc w:val="center"/>
              <w:rPr>
                <w:rFonts w:hint="eastAsia" w:ascii="宋体" w:eastAsia="宋体" w:cs="宋体"/>
                <w:i w:val="0"/>
                <w:iCs w:val="0"/>
                <w:color w:val="000000"/>
                <w:sz w:val="20"/>
                <w:szCs w:val="20"/>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3BF5">
            <w:pPr>
              <w:jc w:val="center"/>
              <w:rPr>
                <w:rFonts w:hint="eastAsia" w:ascii="宋体" w:eastAsia="宋体" w:cs="宋体"/>
                <w:i w:val="0"/>
                <w:iCs w:val="0"/>
                <w:color w:val="000000"/>
                <w:sz w:val="20"/>
                <w:szCs w:val="20"/>
                <w:u w:val="none"/>
              </w:rPr>
            </w:pP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FCE2">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A0AF9">
            <w:pPr>
              <w:jc w:val="center"/>
              <w:rPr>
                <w:rFonts w:hint="eastAsia" w:ascii="宋体" w:eastAsia="宋体" w:cs="宋体"/>
                <w:i w:val="0"/>
                <w:iCs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CE0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6B1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4CBB"/>
        </w:tc>
      </w:tr>
      <w:tr w14:paraId="35B2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D2F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绩效指标（90分）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2FA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F95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7FB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E1F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指标性质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94D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87E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84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A57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AD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得分</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D36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未完成原因分析</w:t>
            </w:r>
          </w:p>
        </w:tc>
      </w:tr>
      <w:tr w14:paraId="5142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A298"/>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70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8E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B9EB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开展各类教育实践活动、全国文明校园创建、新时代好少年学习宣传推介活动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CDCB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D12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6B6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ED6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BDE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607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13B0">
            <w:pPr>
              <w:jc w:val="center"/>
              <w:rPr>
                <w:rFonts w:hint="eastAsia" w:ascii="宋体" w:eastAsia="宋体" w:cs="宋体"/>
                <w:i w:val="0"/>
                <w:iCs w:val="0"/>
                <w:color w:val="000000"/>
                <w:sz w:val="20"/>
                <w:szCs w:val="20"/>
                <w:u w:val="none"/>
              </w:rPr>
            </w:pPr>
          </w:p>
        </w:tc>
      </w:tr>
      <w:tr w14:paraId="359D3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4045"/>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C8A7"/>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5418"/>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CF42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开展全市未成年人思想道德建设工作推进会</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01F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AA5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455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次</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D53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F87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B951">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CF46">
            <w:pPr>
              <w:jc w:val="center"/>
              <w:rPr>
                <w:rFonts w:hint="eastAsia" w:ascii="宋体" w:eastAsia="宋体" w:cs="宋体"/>
                <w:i w:val="0"/>
                <w:iCs w:val="0"/>
                <w:color w:val="000000"/>
                <w:sz w:val="20"/>
                <w:szCs w:val="20"/>
                <w:u w:val="none"/>
              </w:rPr>
            </w:pPr>
          </w:p>
        </w:tc>
      </w:tr>
      <w:tr w14:paraId="5120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A9331"/>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9800">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D5EE">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FF2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为全市未成年人健康成长营造社会环境</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0528">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2C1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D0E4">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FAC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42CF">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A8A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79F4">
            <w:pPr>
              <w:jc w:val="center"/>
              <w:rPr>
                <w:rFonts w:hint="eastAsia" w:ascii="宋体" w:eastAsia="宋体" w:cs="宋体"/>
                <w:i w:val="0"/>
                <w:iCs w:val="0"/>
                <w:color w:val="000000"/>
                <w:sz w:val="20"/>
                <w:szCs w:val="20"/>
                <w:u w:val="none"/>
              </w:rPr>
            </w:pPr>
          </w:p>
        </w:tc>
      </w:tr>
      <w:tr w14:paraId="6E99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0842"/>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C78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EBA3">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C15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市民对未成人年工作满意度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50E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定性</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1D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1DE8">
            <w:pPr>
              <w:jc w:val="center"/>
              <w:rPr>
                <w:rFonts w:hint="eastAsia" w:asci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06E9">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A62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A7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116F">
            <w:pPr>
              <w:jc w:val="center"/>
              <w:rPr>
                <w:rFonts w:hint="eastAsia" w:ascii="宋体" w:eastAsia="宋体" w:cs="宋体"/>
                <w:i w:val="0"/>
                <w:iCs w:val="0"/>
                <w:color w:val="000000"/>
                <w:sz w:val="20"/>
                <w:szCs w:val="20"/>
                <w:u w:val="none"/>
              </w:rPr>
            </w:pPr>
          </w:p>
        </w:tc>
      </w:tr>
      <w:tr w14:paraId="2622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B9F0"/>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774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FD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979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经费保障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9D02">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3C2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B19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B78C">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21.39</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50EB">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21B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F192">
            <w:pPr>
              <w:jc w:val="center"/>
              <w:rPr>
                <w:rFonts w:hint="eastAsia" w:ascii="宋体" w:eastAsia="宋体" w:cs="宋体"/>
                <w:i w:val="0"/>
                <w:iCs w:val="0"/>
                <w:color w:val="000000"/>
                <w:sz w:val="20"/>
                <w:szCs w:val="20"/>
                <w:u w:val="none"/>
              </w:rPr>
            </w:pPr>
          </w:p>
        </w:tc>
      </w:tr>
      <w:tr w14:paraId="1ECA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EBE5">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413D">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BBD7">
            <w:pPr>
              <w:keepNext w:val="0"/>
              <w:keepLines w:val="0"/>
              <w:widowControl/>
              <w:suppressLineNumbers w:val="0"/>
              <w:jc w:val="righ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1966">
            <w:pPr>
              <w:rPr>
                <w:rFonts w:hint="eastAsia" w:ascii="宋体" w:eastAsia="宋体" w:cs="宋体"/>
                <w:i w:val="0"/>
                <w:iCs w:val="0"/>
                <w:color w:val="000000"/>
                <w:sz w:val="20"/>
                <w:szCs w:val="20"/>
                <w:u w:val="none"/>
              </w:rPr>
            </w:pPr>
          </w:p>
        </w:tc>
      </w:tr>
      <w:tr w14:paraId="7133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B384">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评价结论</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6344">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围绕中央和省市委工作要求，开展“新时代好少年”学习宣传推介活动、“童声里的中国”少儿歌咏活动，全国文明校园创建、乡村学校少年宫成果展示交流活动等各类活动8场次，召开全市未成年人思想道德建设工作现场推进会，持续深化未成年人“扣好人生第一粒扣子”主题教育实践活动，开展童谣传唱、未成年人网络沉迷宣传教育等活动20余场次。推动了全市未成年人思想道德建设工作再上新的台阶。</w:t>
            </w:r>
          </w:p>
        </w:tc>
      </w:tr>
      <w:tr w14:paraId="5DF59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504A">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存在问题</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415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46CC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A367">
            <w:pPr>
              <w:keepNext w:val="0"/>
              <w:keepLines w:val="0"/>
              <w:widowControl/>
              <w:suppressLineNumbers w:val="0"/>
              <w:jc w:val="center"/>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改进措施</w:t>
            </w:r>
          </w:p>
        </w:tc>
        <w:tc>
          <w:tcPr>
            <w:tcW w:w="1207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3938">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无</w:t>
            </w:r>
          </w:p>
        </w:tc>
      </w:tr>
      <w:tr w14:paraId="78A0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68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3AA2">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项目负责人：陈晓莉</w:t>
            </w:r>
          </w:p>
        </w:tc>
        <w:tc>
          <w:tcPr>
            <w:tcW w:w="59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48EB">
            <w:pPr>
              <w:keepNext w:val="0"/>
              <w:keepLines w:val="0"/>
              <w:widowControl/>
              <w:suppressLineNumbers w:val="0"/>
              <w:jc w:val="left"/>
              <w:textAlignment w:val="center"/>
              <w:rPr>
                <w:rFonts w:hint="eastAsia" w:ascii="宋体" w:eastAsia="宋体" w:cs="宋体"/>
                <w:i w:val="0"/>
                <w:iCs w:val="0"/>
                <w:color w:val="000000"/>
                <w:sz w:val="20"/>
                <w:szCs w:val="20"/>
                <w:u w:val="none"/>
              </w:rPr>
            </w:pPr>
            <w:r>
              <w:rPr>
                <w:rFonts w:hint="eastAsia" w:ascii="宋体" w:eastAsia="宋体" w:cs="宋体"/>
                <w:i w:val="0"/>
                <w:iCs w:val="0"/>
                <w:color w:val="000000"/>
                <w:kern w:val="0"/>
                <w:sz w:val="20"/>
                <w:szCs w:val="20"/>
                <w:u w:val="none"/>
                <w:lang w:val="en-US" w:eastAsia="zh-CN"/>
              </w:rPr>
              <w:t>财务负责人：杨海铭</w:t>
            </w:r>
          </w:p>
        </w:tc>
      </w:tr>
    </w:tbl>
    <w:p w14:paraId="709C035A">
      <w:pPr>
        <w:rPr>
          <w:rFonts w:hint="eastAsia" w:ascii="Times New Roman" w:hAnsi="Times New Roman" w:eastAsia="方正仿宋_GBK" w:cs="仿宋_GB2312"/>
          <w:b w:val="0"/>
          <w:bCs w:val="0"/>
          <w:kern w:val="0"/>
          <w:position w:val="0"/>
          <w:sz w:val="32"/>
          <w:szCs w:val="32"/>
          <w:highlight w:val="none"/>
          <w:lang w:val="en-US" w:eastAsia="zh-CN" w:bidi="ar-SA"/>
        </w:rPr>
        <w:sectPr>
          <w:pgSz w:w="16838" w:h="11906" w:orient="landscape"/>
          <w:pgMar w:top="1587" w:right="2098" w:bottom="1474" w:left="1984" w:header="851" w:footer="1417" w:gutter="0"/>
          <w:cols w:space="720" w:num="1"/>
          <w:rtlGutter w:val="1"/>
          <w:docGrid w:type="lines" w:linePitch="440" w:charSpace="0"/>
        </w:sectPr>
      </w:pPr>
      <w:bookmarkStart w:id="60" w:name="_Toc15396618"/>
    </w:p>
    <w:p w14:paraId="40A0EA3D">
      <w:pPr>
        <w:pStyle w:val="2"/>
        <w:rPr>
          <w:rFonts w:hint="eastAsia" w:ascii="Times New Roman" w:hAnsi="Times New Roman" w:eastAsia="方正仿宋_GBK" w:cs="仿宋_GB2312"/>
          <w:b w:val="0"/>
          <w:bCs w:val="0"/>
          <w:kern w:val="0"/>
          <w:position w:val="0"/>
          <w:sz w:val="32"/>
          <w:szCs w:val="32"/>
          <w:highlight w:val="none"/>
          <w:lang w:val="en-US" w:eastAsia="zh-CN" w:bidi="ar-SA"/>
        </w:rPr>
      </w:pPr>
    </w:p>
    <w:p w14:paraId="197B477B">
      <w:pPr>
        <w:pStyle w:val="2"/>
        <w:rPr>
          <w:rFonts w:hint="eastAsia" w:ascii="Times New Roman" w:hAnsi="Times New Roman" w:eastAsia="方正仿宋_GBK" w:cs="仿宋_GB2312"/>
          <w:b w:val="0"/>
          <w:bCs w:val="0"/>
          <w:kern w:val="0"/>
          <w:position w:val="0"/>
          <w:sz w:val="32"/>
          <w:szCs w:val="32"/>
          <w:highlight w:val="none"/>
          <w:lang w:val="en-US" w:eastAsia="zh-CN" w:bidi="ar-SA"/>
        </w:rPr>
      </w:pPr>
    </w:p>
    <w:p w14:paraId="7AEDA280">
      <w:pPr>
        <w:pStyle w:val="3"/>
        <w:keepNext w:val="0"/>
        <w:keepLines w:val="0"/>
        <w:pageBreakBefore w:val="0"/>
        <w:widowControl w:val="0"/>
        <w:kinsoku/>
        <w:wordWrap/>
        <w:overflowPunct/>
        <w:topLinePunct w:val="0"/>
        <w:autoSpaceDE/>
        <w:autoSpaceDN/>
        <w:bidi w:val="0"/>
        <w:adjustRightInd w:val="0"/>
        <w:snapToGrid w:val="0"/>
        <w:spacing w:before="0" w:after="0" w:line="580" w:lineRule="exact"/>
        <w:jc w:val="center"/>
        <w:textAlignment w:val="auto"/>
        <w:outlineLvl w:val="0"/>
        <w:rPr>
          <w:rFonts w:hint="eastAsia" w:ascii="Times New Roman" w:hAnsi="Times New Roman" w:eastAsia="方正小标宋简体" w:cs="方正小标宋简体"/>
          <w:b w:val="0"/>
          <w:color w:val="auto"/>
          <w:highlight w:val="none"/>
          <w:lang w:val="en-US" w:eastAsia="zh-CN"/>
        </w:rPr>
      </w:pPr>
      <w:bookmarkStart w:id="61" w:name="_Toc15059"/>
      <w:r>
        <w:rPr>
          <w:rFonts w:hint="eastAsia" w:ascii="Times New Roman" w:hAnsi="Times New Roman" w:eastAsia="方正小标宋简体" w:cs="方正小标宋简体"/>
          <w:b w:val="0"/>
          <w:color w:val="auto"/>
          <w:highlight w:val="none"/>
          <w:lang w:val="en-US" w:eastAsia="zh-CN"/>
        </w:rPr>
        <w:t>第五部分 附表</w:t>
      </w:r>
      <w:bookmarkEnd w:id="59"/>
      <w:bookmarkEnd w:id="60"/>
      <w:bookmarkEnd w:id="61"/>
      <w:bookmarkStart w:id="62" w:name="_Toc15396619"/>
    </w:p>
    <w:p w14:paraId="740D86E5">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9"/>
        <w:rPr>
          <w:rFonts w:hint="eastAsia" w:ascii="Times New Roman" w:hAnsi="Times New Roman" w:eastAsia="方正仿宋_GBK" w:cs="方正仿宋_GBK"/>
          <w:color w:val="auto"/>
          <w:sz w:val="32"/>
          <w:szCs w:val="32"/>
          <w:highlight w:val="none"/>
        </w:rPr>
      </w:pPr>
    </w:p>
    <w:p w14:paraId="6FA4CD93">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63" w:name="_Toc26146"/>
      <w:r>
        <w:rPr>
          <w:rFonts w:hint="eastAsia" w:ascii="Times New Roman" w:hAnsi="Times New Roman" w:eastAsia="方正仿宋_GBK" w:cs="方正仿宋_GBK"/>
          <w:color w:val="auto"/>
          <w:sz w:val="32"/>
          <w:szCs w:val="32"/>
          <w:highlight w:val="none"/>
        </w:rPr>
        <w:t>一、收入支出决算总表</w:t>
      </w:r>
      <w:bookmarkEnd w:id="62"/>
      <w:bookmarkEnd w:id="63"/>
    </w:p>
    <w:p w14:paraId="3AD7AE56">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64" w:name="_Toc15396620"/>
      <w:bookmarkStart w:id="65" w:name="_Toc2869"/>
      <w:r>
        <w:rPr>
          <w:rFonts w:hint="eastAsia" w:ascii="Times New Roman" w:hAnsi="Times New Roman" w:eastAsia="方正仿宋_GBK" w:cs="方正仿宋_GBK"/>
          <w:color w:val="auto"/>
          <w:sz w:val="32"/>
          <w:szCs w:val="32"/>
          <w:highlight w:val="none"/>
        </w:rPr>
        <w:t>二、收入决算表</w:t>
      </w:r>
      <w:bookmarkEnd w:id="64"/>
      <w:bookmarkEnd w:id="65"/>
    </w:p>
    <w:p w14:paraId="6A55A3A9">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66" w:name="_Toc15396621"/>
      <w:bookmarkStart w:id="67" w:name="_Toc1962"/>
      <w:r>
        <w:rPr>
          <w:rFonts w:hint="eastAsia" w:ascii="Times New Roman" w:hAnsi="Times New Roman" w:eastAsia="方正仿宋_GBK" w:cs="方正仿宋_GBK"/>
          <w:color w:val="auto"/>
          <w:sz w:val="32"/>
          <w:szCs w:val="32"/>
          <w:highlight w:val="none"/>
        </w:rPr>
        <w:t>三、支出决算表</w:t>
      </w:r>
      <w:bookmarkEnd w:id="66"/>
      <w:bookmarkEnd w:id="67"/>
    </w:p>
    <w:p w14:paraId="6A2273BD">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68" w:name="_Toc15396622"/>
      <w:bookmarkStart w:id="69" w:name="_Toc27951"/>
      <w:r>
        <w:rPr>
          <w:rFonts w:hint="eastAsia" w:ascii="Times New Roman" w:hAnsi="Times New Roman" w:eastAsia="方正仿宋_GBK" w:cs="方正仿宋_GBK"/>
          <w:color w:val="auto"/>
          <w:sz w:val="32"/>
          <w:szCs w:val="32"/>
          <w:highlight w:val="none"/>
        </w:rPr>
        <w:t>四、财政拨款收入支出决算总表</w:t>
      </w:r>
      <w:bookmarkEnd w:id="68"/>
      <w:bookmarkEnd w:id="69"/>
    </w:p>
    <w:p w14:paraId="39B2CB8C">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70" w:name="_Toc15396623"/>
      <w:bookmarkStart w:id="71" w:name="_Toc4645"/>
      <w:r>
        <w:rPr>
          <w:rFonts w:hint="eastAsia" w:ascii="Times New Roman" w:hAnsi="Times New Roman" w:eastAsia="方正仿宋_GBK" w:cs="方正仿宋_GBK"/>
          <w:color w:val="auto"/>
          <w:sz w:val="32"/>
          <w:szCs w:val="32"/>
          <w:highlight w:val="none"/>
        </w:rPr>
        <w:t>五、财政拨款支出决算明细表</w:t>
      </w:r>
      <w:bookmarkEnd w:id="70"/>
      <w:bookmarkEnd w:id="71"/>
      <w:bookmarkStart w:id="72" w:name="_Toc15396624"/>
    </w:p>
    <w:p w14:paraId="3BA67E13">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73" w:name="_Toc12326"/>
      <w:r>
        <w:rPr>
          <w:rFonts w:hint="eastAsia" w:ascii="Times New Roman" w:hAnsi="Times New Roman" w:eastAsia="方正仿宋_GBK" w:cs="方正仿宋_GBK"/>
          <w:color w:val="auto"/>
          <w:sz w:val="32"/>
          <w:szCs w:val="32"/>
          <w:highlight w:val="none"/>
        </w:rPr>
        <w:t>六、一般公共预算财政拨款支出决算表</w:t>
      </w:r>
      <w:bookmarkEnd w:id="72"/>
      <w:bookmarkEnd w:id="73"/>
    </w:p>
    <w:p w14:paraId="77653797">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74" w:name="_Toc18219"/>
      <w:bookmarkStart w:id="75" w:name="_Toc15396625"/>
      <w:r>
        <w:rPr>
          <w:rFonts w:hint="eastAsia" w:ascii="Times New Roman" w:hAnsi="Times New Roman" w:eastAsia="方正仿宋_GBK" w:cs="方正仿宋_GBK"/>
          <w:color w:val="auto"/>
          <w:sz w:val="32"/>
          <w:szCs w:val="32"/>
          <w:highlight w:val="none"/>
        </w:rPr>
        <w:t>七、一般公共预算财政拨款支出决算明细表</w:t>
      </w:r>
      <w:bookmarkEnd w:id="74"/>
      <w:bookmarkEnd w:id="75"/>
    </w:p>
    <w:p w14:paraId="6E57368E">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76" w:name="_Toc15396626"/>
      <w:bookmarkStart w:id="77" w:name="_Toc10223"/>
      <w:r>
        <w:rPr>
          <w:rFonts w:hint="eastAsia" w:ascii="Times New Roman" w:hAnsi="Times New Roman" w:eastAsia="方正仿宋_GBK" w:cs="方正仿宋_GBK"/>
          <w:color w:val="auto"/>
          <w:sz w:val="32"/>
          <w:szCs w:val="32"/>
          <w:highlight w:val="none"/>
        </w:rPr>
        <w:t>八、一般公共预算财政拨款基本支出决算表</w:t>
      </w:r>
      <w:bookmarkEnd w:id="76"/>
      <w:bookmarkEnd w:id="77"/>
    </w:p>
    <w:p w14:paraId="68FA19F9">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78" w:name="_Toc26970"/>
      <w:bookmarkStart w:id="79" w:name="_Toc15396627"/>
      <w:r>
        <w:rPr>
          <w:rFonts w:hint="eastAsia" w:ascii="Times New Roman" w:hAnsi="Times New Roman" w:eastAsia="方正仿宋_GBK" w:cs="方正仿宋_GBK"/>
          <w:color w:val="auto"/>
          <w:sz w:val="32"/>
          <w:szCs w:val="32"/>
          <w:highlight w:val="none"/>
        </w:rPr>
        <w:t>九、一般公共预算财政拨款项目支出决算表</w:t>
      </w:r>
      <w:bookmarkEnd w:id="78"/>
      <w:bookmarkEnd w:id="79"/>
    </w:p>
    <w:p w14:paraId="34B4372A">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80" w:name="_Toc15396628"/>
      <w:bookmarkStart w:id="81" w:name="_Toc14952"/>
      <w:r>
        <w:rPr>
          <w:rFonts w:hint="eastAsia" w:ascii="Times New Roman" w:hAnsi="Times New Roman" w:eastAsia="方正仿宋_GBK" w:cs="方正仿宋_GBK"/>
          <w:color w:val="auto"/>
          <w:sz w:val="32"/>
          <w:szCs w:val="32"/>
          <w:highlight w:val="none"/>
        </w:rPr>
        <w:t>十、</w:t>
      </w:r>
      <w:bookmarkEnd w:id="80"/>
      <w:r>
        <w:rPr>
          <w:rFonts w:hint="eastAsia" w:ascii="Times New Roman" w:hAnsi="Times New Roman" w:eastAsia="方正仿宋_GBK" w:cs="方正仿宋_GBK"/>
          <w:color w:val="auto"/>
          <w:sz w:val="32"/>
          <w:szCs w:val="32"/>
          <w:highlight w:val="none"/>
        </w:rPr>
        <w:t>政府性基金预算财政拨款收入支出决算表</w:t>
      </w:r>
      <w:bookmarkEnd w:id="81"/>
    </w:p>
    <w:p w14:paraId="5D61C009">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82" w:name="_Toc15396629"/>
      <w:bookmarkStart w:id="83" w:name="_Toc1535"/>
      <w:r>
        <w:rPr>
          <w:rFonts w:hint="eastAsia" w:ascii="Times New Roman" w:hAnsi="Times New Roman" w:eastAsia="方正仿宋_GBK" w:cs="方正仿宋_GBK"/>
          <w:color w:val="auto"/>
          <w:sz w:val="32"/>
          <w:szCs w:val="32"/>
          <w:highlight w:val="none"/>
        </w:rPr>
        <w:t>十一、</w:t>
      </w:r>
      <w:bookmarkEnd w:id="82"/>
      <w:r>
        <w:rPr>
          <w:rFonts w:hint="eastAsia" w:ascii="Times New Roman" w:hAnsi="Times New Roman" w:eastAsia="方正仿宋_GBK" w:cs="方正仿宋_GBK"/>
          <w:color w:val="auto"/>
          <w:sz w:val="32"/>
          <w:szCs w:val="32"/>
          <w:highlight w:val="none"/>
        </w:rPr>
        <w:t>国有资本经营预算</w:t>
      </w:r>
      <w:r>
        <w:rPr>
          <w:rFonts w:hint="eastAsia" w:ascii="Times New Roman" w:hAnsi="Times New Roman" w:eastAsia="方正仿宋_GBK" w:cs="方正仿宋_GBK"/>
          <w:color w:val="auto"/>
          <w:sz w:val="32"/>
          <w:szCs w:val="32"/>
          <w:highlight w:val="none"/>
          <w:lang w:eastAsia="zh-CN"/>
        </w:rPr>
        <w:t>财政拨款收入</w:t>
      </w:r>
      <w:r>
        <w:rPr>
          <w:rFonts w:hint="eastAsia" w:ascii="Times New Roman" w:hAnsi="Times New Roman" w:eastAsia="方正仿宋_GBK" w:cs="方正仿宋_GBK"/>
          <w:color w:val="auto"/>
          <w:sz w:val="32"/>
          <w:szCs w:val="32"/>
          <w:highlight w:val="none"/>
        </w:rPr>
        <w:t>支出决算表</w:t>
      </w:r>
      <w:bookmarkEnd w:id="83"/>
    </w:p>
    <w:p w14:paraId="2259B75C">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rPr>
      </w:pPr>
      <w:bookmarkStart w:id="84" w:name="_Toc15396630"/>
      <w:bookmarkStart w:id="85" w:name="_Toc10986"/>
      <w:r>
        <w:rPr>
          <w:rFonts w:hint="eastAsia" w:ascii="Times New Roman" w:hAnsi="Times New Roman" w:eastAsia="方正仿宋_GBK" w:cs="方正仿宋_GBK"/>
          <w:color w:val="auto"/>
          <w:sz w:val="32"/>
          <w:szCs w:val="32"/>
          <w:highlight w:val="none"/>
        </w:rPr>
        <w:t>十二、</w:t>
      </w:r>
      <w:bookmarkEnd w:id="84"/>
      <w:r>
        <w:rPr>
          <w:rFonts w:hint="eastAsia" w:ascii="Times New Roman" w:hAnsi="Times New Roman" w:eastAsia="方正仿宋_GBK" w:cs="方正仿宋_GBK"/>
          <w:color w:val="auto"/>
          <w:sz w:val="32"/>
          <w:szCs w:val="32"/>
          <w:highlight w:val="none"/>
          <w:lang w:eastAsia="zh-CN"/>
        </w:rPr>
        <w:t>国有资本经营预算财政拨款支出决算表</w:t>
      </w:r>
      <w:bookmarkEnd w:id="85"/>
    </w:p>
    <w:p w14:paraId="5688818D">
      <w:pPr>
        <w:pStyle w:val="14"/>
        <w:keepNext w:val="0"/>
        <w:keepLines w:val="0"/>
        <w:pageBreakBefore w:val="0"/>
        <w:widowControl w:val="0"/>
        <w:kinsoku/>
        <w:wordWrap/>
        <w:overflowPunct/>
        <w:topLinePunct w:val="0"/>
        <w:autoSpaceDE/>
        <w:autoSpaceDN/>
        <w:bidi w:val="0"/>
        <w:adjustRightInd w:val="0"/>
        <w:snapToGrid w:val="0"/>
        <w:spacing w:line="580" w:lineRule="exact"/>
        <w:jc w:val="left"/>
        <w:textAlignment w:val="auto"/>
        <w:outlineLvl w:val="1"/>
        <w:rPr>
          <w:rFonts w:hint="eastAsia" w:ascii="Times New Roman" w:hAnsi="Times New Roman" w:eastAsia="方正仿宋_GBK" w:cs="方正仿宋_GBK"/>
          <w:color w:val="auto"/>
          <w:sz w:val="32"/>
          <w:szCs w:val="32"/>
          <w:highlight w:val="none"/>
          <w:lang w:eastAsia="zh-CN"/>
        </w:rPr>
      </w:pPr>
      <w:bookmarkStart w:id="86" w:name="_Toc15396631"/>
      <w:bookmarkStart w:id="87" w:name="_Toc6474"/>
      <w:r>
        <w:rPr>
          <w:rFonts w:hint="eastAsia" w:ascii="Times New Roman" w:hAnsi="Times New Roman" w:eastAsia="方正仿宋_GBK" w:cs="方正仿宋_GBK"/>
          <w:color w:val="auto"/>
          <w:sz w:val="32"/>
          <w:szCs w:val="32"/>
          <w:highlight w:val="none"/>
        </w:rPr>
        <w:t>十三、</w:t>
      </w:r>
      <w:bookmarkEnd w:id="86"/>
      <w:r>
        <w:rPr>
          <w:rFonts w:hint="eastAsia" w:ascii="Times New Roman" w:hAnsi="Times New Roman" w:eastAsia="方正仿宋_GBK" w:cs="方正仿宋_GBK"/>
          <w:color w:val="auto"/>
          <w:sz w:val="32"/>
          <w:szCs w:val="32"/>
          <w:highlight w:val="none"/>
          <w:lang w:eastAsia="zh-CN"/>
        </w:rPr>
        <w:t>财政拨款“三公”经费支出决算表</w:t>
      </w:r>
      <w:bookmarkEnd w:id="87"/>
    </w:p>
    <w:p w14:paraId="74DA1DDA">
      <w:pPr>
        <w:keepNext w:val="0"/>
        <w:keepLines w:val="0"/>
        <w:pageBreakBefore w:val="0"/>
        <w:widowControl w:val="0"/>
        <w:kinsoku/>
        <w:wordWrap/>
        <w:overflowPunct/>
        <w:topLinePunct w:val="0"/>
        <w:autoSpaceDE/>
        <w:autoSpaceDN/>
        <w:bidi w:val="0"/>
        <w:spacing w:line="580" w:lineRule="exact"/>
        <w:textAlignment w:val="auto"/>
        <w:outlineLvl w:val="1"/>
        <w:rPr>
          <w:rFonts w:hint="eastAsia" w:ascii="Times New Roman" w:hAnsi="Times New Roman" w:eastAsia="方正仿宋_GBK" w:cs="方正仿宋_GBK"/>
          <w:sz w:val="32"/>
          <w:szCs w:val="32"/>
          <w:lang w:eastAsia="zh-CN"/>
        </w:rPr>
      </w:pPr>
    </w:p>
    <w:sectPr>
      <w:pgSz w:w="11906" w:h="16838"/>
      <w:pgMar w:top="2098" w:right="1474" w:bottom="1984" w:left="1587" w:header="851" w:footer="1417" w:gutter="0"/>
      <w:cols w:space="720" w:num="1"/>
      <w:rtlGutter w:val="1"/>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01"/>
    <w:family w:val="auto"/>
    <w:pitch w:val="default"/>
    <w:sig w:usb0="00000000" w:usb1="00000000" w:usb2="00000000" w:usb3="00000000" w:csb0="00000000" w:csb1="00000000"/>
  </w:font>
  <w:font w:name="宋体">
    <w:altName w:val="方正书宋_GBK"/>
    <w:panose1 w:val="00000000000000000000"/>
    <w:charset w:val="01"/>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MS Gothic">
    <w:altName w:val="国标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Lucida Sans">
    <w:altName w:val="国标仿宋"/>
    <w:panose1 w:val="00000000000000000000"/>
    <w:charset w:val="01"/>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686E7">
    <w:pPr>
      <w:pStyle w:val="10"/>
      <w:jc w:val="center"/>
    </w:pPr>
  </w:p>
  <w:p w14:paraId="7675D69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87493">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9F7F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CA2D4">
    <w:pPr>
      <w:pStyle w:val="10"/>
      <w:jc w:val="center"/>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89000" cy="204470"/>
              <wp:effectExtent l="0" t="0" r="0" b="0"/>
              <wp:wrapNone/>
              <wp:docPr id="1" name="文本框 12"/>
              <wp:cNvGraphicFramePr/>
              <a:graphic xmlns:a="http://schemas.openxmlformats.org/drawingml/2006/main">
                <a:graphicData uri="http://schemas.microsoft.com/office/word/2010/wordprocessingShape">
                  <wps:wsp>
                    <wps:cNvSpPr/>
                    <wps:spPr>
                      <a:xfrm>
                        <a:off x="0" y="0"/>
                        <a:ext cx="889000" cy="204647"/>
                      </a:xfrm>
                      <a:prstGeom prst="rect">
                        <a:avLst/>
                      </a:prstGeom>
                      <a:noFill/>
                      <a:ln w="6350" cap="flat" cmpd="sng">
                        <a:noFill/>
                        <a:prstDash val="solid"/>
                        <a:round/>
                      </a:ln>
                    </wps:spPr>
                    <wps:txbx>
                      <w:txbxContent>
                        <w:p w14:paraId="057B4B22">
                          <w:pPr>
                            <w:pStyle w:val="10"/>
                            <w:rPr>
                              <w:rFonts w:ascii="Times New Roman" w:hAnsi="Times New Roman" w:eastAsia="宋体" w:cs="Times New Roman"/>
                              <w:sz w:val="28"/>
                              <w:szCs w:val="28"/>
                              <w:lang w:eastAsia="zh-CN"/>
                            </w:rPr>
                          </w:pPr>
                          <w:r>
                            <w:rPr>
                              <w:rFonts w:ascii="Times New Roman" w:hAnsi="Times New Roman" w:cs="Times New Roman"/>
                              <w:sz w:val="28"/>
                              <w:szCs w:val="28"/>
                              <w:lang w:eastAsia="zh-CN"/>
                            </w:rPr>
                            <w:t>—</w:t>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fldChar w:fldCharType="begin"/>
                          </w:r>
                          <w:r>
                            <w:rPr>
                              <w:rFonts w:ascii="Times New Roman" w:hAnsi="Times New Roman" w:cs="Times New Roman"/>
                              <w:sz w:val="28"/>
                              <w:szCs w:val="28"/>
                              <w:lang w:eastAsia="zh-CN"/>
                            </w:rPr>
                            <w:instrText xml:space="preserve"> PAGE  \* MERGEFORMAT </w:instrText>
                          </w:r>
                          <w:r>
                            <w:rPr>
                              <w:rFonts w:ascii="Times New Roman" w:hAnsi="Times New Roman" w:cs="Times New Roman"/>
                              <w:sz w:val="28"/>
                              <w:szCs w:val="28"/>
                              <w:lang w:eastAsia="zh-CN"/>
                            </w:rPr>
                            <w:fldChar w:fldCharType="separate"/>
                          </w:r>
                          <w:r>
                            <w:rPr>
                              <w:rFonts w:ascii="Times New Roman" w:hAnsi="Times New Roman" w:cs="Times New Roman"/>
                              <w:sz w:val="28"/>
                              <w:szCs w:val="28"/>
                              <w:lang w:eastAsia="zh-CN"/>
                            </w:rPr>
                            <w:t>- 1 -</w:t>
                          </w:r>
                          <w:r>
                            <w:rPr>
                              <w:rFonts w:ascii="Times New Roman" w:hAnsi="Times New Roman" w:cs="Times New Roman"/>
                              <w:sz w:val="28"/>
                              <w:szCs w:val="28"/>
                              <w:lang w:eastAsia="zh-CN"/>
                            </w:rPr>
                            <w:fldChar w:fldCharType="end"/>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t>—</w:t>
                          </w:r>
                        </w:p>
                      </w:txbxContent>
                    </wps:txbx>
                    <wps:bodyPr vert="horz" wrap="none" lIns="0" tIns="0" rIns="0" bIns="0" anchor="t" anchorCtr="0" upright="0">
                      <a:spAutoFit/>
                    </wps:bodyPr>
                  </wps:wsp>
                </a:graphicData>
              </a:graphic>
            </wp:anchor>
          </w:drawing>
        </mc:Choice>
        <mc:Fallback>
          <w:pict>
            <v:rect id="文本框 12" o:spid="_x0000_s1026" o:spt="1" style="position:absolute;left:0pt;margin-top:0pt;height:16.1pt;width:70pt;mso-position-horizontal:outside;mso-position-horizontal-relative:margin;mso-wrap-style:none;z-index:251659264;mso-width-relative:page;mso-height-relative:page;" filled="f" stroked="f" coordsize="21600,21600" o:gfxdata="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mU52f1gAAAAQBAAAPAAAAAAAAAAEAIAAAACIAAABkcnMvZG93&#10;bnJldi54bWxQSwECFAAUAAAACACHTuJA8emlEAICAAD1AwAADgAAAAAAAAABACAAAAAlAQAAZHJz&#10;L2Uyb0RvYy54bWxQSwUGAAAAAAYABgBZAQAAmQUAAAAA&#10;">
              <v:fill on="f" focussize="0,0"/>
              <v:stroke on="f" weight="0.5pt" joinstyle="round"/>
              <v:imagedata o:title=""/>
              <o:lock v:ext="edit" aspectratio="f"/>
              <v:textbox inset="0mm,0mm,0mm,0mm" style="mso-fit-shape-to-text:t;">
                <w:txbxContent>
                  <w:p w14:paraId="057B4B22">
                    <w:pPr>
                      <w:pStyle w:val="10"/>
                      <w:rPr>
                        <w:rFonts w:ascii="Times New Roman" w:hAnsi="Times New Roman" w:eastAsia="宋体" w:cs="Times New Roman"/>
                        <w:sz w:val="28"/>
                        <w:szCs w:val="28"/>
                        <w:lang w:eastAsia="zh-CN"/>
                      </w:rPr>
                    </w:pPr>
                    <w:r>
                      <w:rPr>
                        <w:rFonts w:ascii="Times New Roman" w:hAnsi="Times New Roman" w:cs="Times New Roman"/>
                        <w:sz w:val="28"/>
                        <w:szCs w:val="28"/>
                        <w:lang w:eastAsia="zh-CN"/>
                      </w:rPr>
                      <w:t>—</w:t>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fldChar w:fldCharType="begin"/>
                    </w:r>
                    <w:r>
                      <w:rPr>
                        <w:rFonts w:ascii="Times New Roman" w:hAnsi="Times New Roman" w:cs="Times New Roman"/>
                        <w:sz w:val="28"/>
                        <w:szCs w:val="28"/>
                        <w:lang w:eastAsia="zh-CN"/>
                      </w:rPr>
                      <w:instrText xml:space="preserve"> PAGE  \* MERGEFORMAT </w:instrText>
                    </w:r>
                    <w:r>
                      <w:rPr>
                        <w:rFonts w:ascii="Times New Roman" w:hAnsi="Times New Roman" w:cs="Times New Roman"/>
                        <w:sz w:val="28"/>
                        <w:szCs w:val="28"/>
                        <w:lang w:eastAsia="zh-CN"/>
                      </w:rPr>
                      <w:fldChar w:fldCharType="separate"/>
                    </w:r>
                    <w:r>
                      <w:rPr>
                        <w:rFonts w:ascii="Times New Roman" w:hAnsi="Times New Roman" w:cs="Times New Roman"/>
                        <w:sz w:val="28"/>
                        <w:szCs w:val="28"/>
                        <w:lang w:eastAsia="zh-CN"/>
                      </w:rPr>
                      <w:t>- 1 -</w:t>
                    </w:r>
                    <w:r>
                      <w:rPr>
                        <w:rFonts w:ascii="Times New Roman" w:hAnsi="Times New Roman" w:cs="Times New Roman"/>
                        <w:sz w:val="28"/>
                        <w:szCs w:val="28"/>
                        <w:lang w:eastAsia="zh-CN"/>
                      </w:rPr>
                      <w:fldChar w:fldCharType="end"/>
                    </w:r>
                    <w:r>
                      <w:rPr>
                        <w:rFonts w:ascii="Times New Roman" w:hAnsi="Times New Roman" w:cs="Times New Roman"/>
                        <w:sz w:val="28"/>
                        <w:szCs w:val="28"/>
                        <w:lang w:val="en-US" w:eastAsia="zh-CN"/>
                      </w:rPr>
                      <w:t xml:space="preserve">  </w:t>
                    </w:r>
                    <w:r>
                      <w:rPr>
                        <w:rFonts w:ascii="Times New Roman" w:hAnsi="Times New Roman" w:cs="Times New Roman"/>
                        <w:sz w:val="28"/>
                        <w:szCs w:val="28"/>
                        <w:lang w:eastAsia="zh-CN"/>
                      </w:rPr>
                      <w:t>—</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18AC1">
    <w:pPr>
      <w:pStyle w:val="11"/>
      <w:pBdr>
        <w:bottom w:val="none" w:color="auto" w:sz="0" w:space="0"/>
      </w:pBdr>
      <w:rPr>
        <w:rFonts w:eastAsia="方正仿宋_GB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220"/>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BFFE0591"/>
    <w:rsid w:val="CBB9D0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30"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hAnsi="仿宋_GB2312"/>
      <w:szCs w:val="32"/>
    </w:rPr>
  </w:style>
  <w:style w:type="paragraph" w:styleId="7">
    <w:name w:val="Body Text First Indent 2"/>
    <w:basedOn w:val="6"/>
    <w:qFormat/>
    <w:uiPriority w:val="0"/>
    <w:pPr>
      <w:ind w:firstLine="200" w:firstLineChars="200"/>
    </w:p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footnote text"/>
    <w:basedOn w:val="1"/>
    <w:next w:val="7"/>
    <w:qFormat/>
    <w:uiPriority w:val="0"/>
    <w:pPr>
      <w:snapToGrid w:val="0"/>
      <w:jc w:val="left"/>
    </w:pPr>
    <w:rPr>
      <w:sz w:val="18"/>
      <w:szCs w:val="18"/>
    </w:rPr>
  </w:style>
  <w:style w:type="paragraph" w:styleId="14">
    <w:name w:val="toc 2"/>
    <w:basedOn w:val="1"/>
    <w:next w:val="1"/>
    <w:qFormat/>
    <w:uiPriority w:val="0"/>
    <w:pPr>
      <w:tabs>
        <w:tab w:val="right" w:leader="dot" w:pos="8296"/>
      </w:tabs>
      <w:ind w:left="200" w:leftChars="200"/>
    </w:pPr>
  </w:style>
  <w:style w:type="paragraph" w:styleId="15">
    <w:name w:val="Normal (Web)"/>
    <w:basedOn w:val="1"/>
    <w:qFormat/>
    <w:uiPriority w:val="0"/>
    <w:rPr>
      <w:sz w:val="24"/>
    </w:r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3"/>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4"/>
    <w:qFormat/>
    <w:uiPriority w:val="0"/>
    <w:rPr>
      <w:rFonts w:ascii="Cambria" w:hAnsi="Cambria" w:eastAsia="宋体" w:cs="Times New Roman"/>
      <w:b/>
      <w:bCs/>
      <w:kern w:val="2"/>
      <w:sz w:val="32"/>
      <w:szCs w:val="32"/>
      <w:lang w:val="en-US" w:eastAsia="zh-CN" w:bidi="ar-SA"/>
    </w:r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3"/>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3">
    <w:name w:val="正文-公1"/>
    <w:basedOn w:val="22"/>
    <w:next w:val="1"/>
    <w:qFormat/>
    <w:uiPriority w:val="0"/>
    <w:pPr>
      <w:ind w:firstLine="200" w:firstLineChars="200"/>
    </w:pPr>
  </w:style>
  <w:style w:type="paragraph" w:customStyle="1" w:styleId="24">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5">
    <w:name w:val="Header Char"/>
    <w:basedOn w:val="17"/>
    <w:qFormat/>
    <w:uiPriority w:val="0"/>
    <w:rPr>
      <w:rFonts w:ascii="Times New Roman" w:hAnsi="Times New Roman"/>
      <w:sz w:val="18"/>
      <w:szCs w:val="18"/>
    </w:rPr>
  </w:style>
  <w:style w:type="character" w:customStyle="1" w:styleId="26">
    <w:name w:val="Footer Char"/>
    <w:basedOn w:val="17"/>
    <w:qFormat/>
    <w:uiPriority w:val="0"/>
    <w:rPr>
      <w:rFonts w:ascii="Times New Roman" w:hAnsi="Times New Roman"/>
      <w:sz w:val="18"/>
      <w:szCs w:val="18"/>
    </w:rPr>
  </w:style>
  <w:style w:type="character" w:customStyle="1" w:styleId="27">
    <w:name w:val="Body Text Char"/>
    <w:basedOn w:val="17"/>
    <w:qFormat/>
    <w:uiPriority w:val="0"/>
    <w:rPr>
      <w:rFonts w:ascii="Times New Roman" w:hAnsi="Times New Roman"/>
      <w:szCs w:val="24"/>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9">
    <w:name w:val="List Paragraph"/>
    <w:basedOn w:val="1"/>
    <w:qFormat/>
    <w:uiPriority w:val="0"/>
    <w:pPr>
      <w:ind w:firstLine="200" w:firstLineChars="200"/>
    </w:pPr>
  </w:style>
  <w:style w:type="paragraph" w:customStyle="1" w:styleId="30">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1">
    <w:name w:val="TOC Heading"/>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3">
    <w:name w:val="15"/>
    <w:basedOn w:val="17"/>
    <w:qFormat/>
    <w:uiPriority w:val="0"/>
    <w:rPr>
      <w:rFonts w:ascii="Times New Roman" w:hAnsi="Times New Roman" w:cs="Times New Roman"/>
      <w:b/>
    </w:rPr>
  </w:style>
  <w:style w:type="character" w:customStyle="1" w:styleId="34">
    <w:name w:val="10"/>
    <w:basedOn w:val="17"/>
    <w:qFormat/>
    <w:uiPriority w:val="0"/>
    <w:rPr>
      <w:rFonts w:ascii="Times New Roman" w:hAnsi="Times New Roman" w:cs="Times New Roman"/>
    </w:rPr>
  </w:style>
  <w:style w:type="character" w:customStyle="1" w:styleId="35">
    <w:name w:val="font11"/>
    <w:basedOn w:val="17"/>
    <w:qFormat/>
    <w:uiPriority w:val="0"/>
    <w:rPr>
      <w:rFonts w:ascii="宋体" w:eastAsia="宋体" w:cs="宋体"/>
      <w:color w:val="000000"/>
      <w:sz w:val="20"/>
      <w:szCs w:val="20"/>
      <w:u w:val="none"/>
    </w:rPr>
  </w:style>
  <w:style w:type="character" w:customStyle="1" w:styleId="36">
    <w:name w:val="font31"/>
    <w:basedOn w:val="17"/>
    <w:qFormat/>
    <w:uiPriority w:val="0"/>
    <w:rPr>
      <w:rFonts w:ascii="宋体" w:eastAsia="宋体" w:cs="宋体"/>
      <w:color w:val="000000"/>
      <w:sz w:val="20"/>
      <w:szCs w:val="20"/>
      <w:u w:val="none"/>
    </w:rPr>
  </w:style>
  <w:style w:type="character" w:customStyle="1" w:styleId="37">
    <w:name w:val="font41"/>
    <w:basedOn w:val="17"/>
    <w:qFormat/>
    <w:uiPriority w:val="0"/>
    <w:rPr>
      <w:rFonts w:ascii="MS Gothic" w:eastAsia="MS Gothic" w:cs="MS Gothic"/>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7654024"/>
          <c:y val="0.04356141"/>
          <c:w val="0.8857695"/>
          <c:h val="0.7308542"/>
        </c:manualLayout>
      </c:layout>
      <c:barChart>
        <c:barDir val="col"/>
        <c:grouping val="clustered"/>
        <c:varyColors val="0"/>
        <c:ser>
          <c:idx val="0"/>
          <c:order val="0"/>
          <c:tx>
            <c:strRef>
              <c:f>'Sheet1'!$B$1</c:f>
              <c:strCache>
                <c:ptCount val="1"/>
                <c:pt idx="0">
                  <c:v>2024年</c:v>
                </c:pt>
              </c:strCache>
            </c:strRef>
          </c:tx>
          <c:spPr>
            <a:solidFill>
              <a:srgbClr val="4F81BD"/>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'Sheet1'!$B$2:$B$3</c:f>
              <c:numCache>
                <c:formatCode>General</c:formatCode>
                <c:ptCount val="2"/>
                <c:pt idx="0">
                  <c:v>3057.89</c:v>
                </c:pt>
                <c:pt idx="1">
                  <c:v>3057.89</c:v>
                </c:pt>
              </c:numCache>
            </c:numRef>
          </c:val>
        </c:ser>
        <c:ser>
          <c:idx val="1"/>
          <c:order val="1"/>
          <c:tx>
            <c:strRef>
              <c:f>'Sheet1'!$C$1</c:f>
              <c:strCache>
                <c:ptCount val="1"/>
                <c:pt idx="0">
                  <c:v>2025年</c:v>
                </c:pt>
              </c:strCache>
            </c:strRef>
          </c:tx>
          <c:spPr>
            <a:solidFill>
              <a:srgbClr val="C0504D"/>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'Sheet1'!$C$2:$C$3</c:f>
              <c:numCache>
                <c:formatCode>General</c:formatCode>
                <c:ptCount val="2"/>
                <c:pt idx="0">
                  <c:v>2231.23</c:v>
                </c:pt>
                <c:pt idx="1">
                  <c:v>2231.23</c:v>
                </c:pt>
              </c:numCache>
            </c:numRef>
          </c:val>
        </c:ser>
        <c:ser>
          <c:idx val="2"/>
          <c:order val="2"/>
          <c:spPr>
            <a:solidFill>
              <a:srgbClr val="9BBB59"/>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收入决算数</c:v>
                </c:pt>
                <c:pt idx="1">
                  <c:v>支出决算数</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02f25dff-7fec-4775-9f0f-fa526e64216b}"/>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a:ea typeface="宋体"/>
                <a:cs typeface="Lucida Sans"/>
              </a:defRPr>
            </a:pPr>
            <a:r>
              <a:rPr lang="zh-CN"/>
              <a:t>图表标题</a:t>
            </a:r>
            <a:endParaRPr lang="zh-CN"/>
          </a:p>
        </c:rich>
      </c:tx>
      <c:layout/>
      <c:overlay val="0"/>
      <c:spPr>
        <a:noFill/>
        <a:ln>
          <a:noFill/>
        </a:ln>
      </c:spPr>
    </c:title>
    <c:autoTitleDeleted val="0"/>
    <c:plotArea>
      <c:layout/>
      <c:pieChart>
        <c:varyColors val="1"/>
        <c:ser>
          <c:idx val="0"/>
          <c:order val="0"/>
          <c:spPr>
            <a:ln>
              <a:noFill/>
            </a:ln>
          </c:spPr>
          <c:explosion val="0"/>
          <c:dPt>
            <c:idx val="0"/>
            <c:bubble3D val="0"/>
            <c:spPr>
              <a:gradFill rotWithShape="1">
                <a:gsLst>
                  <a:gs pos="0">
                    <a:srgbClr val="B9CDE5">
                      <a:alpha val="100000"/>
                    </a:srgbClr>
                  </a:gs>
                  <a:gs pos="90000">
                    <a:srgbClr val="4F81BD">
                      <a:alpha val="100000"/>
                    </a:srgbClr>
                  </a:gs>
                </a:gsLst>
                <a:lin ang="5400000" scaled="1"/>
              </a:gradFill>
              <a:ln w="6350">
                <a:solidFill>
                  <a:srgbClr val="868686"/>
                </a:solidFill>
                <a:prstDash val="solid"/>
              </a:ln>
              <a:effectLst>
                <a:outerShdw dist="35921" dir="2700000" algn="br">
                  <a:srgbClr val="000000"/>
                </a:outerShdw>
              </a:effectLst>
            </c:spPr>
          </c:dPt>
          <c:dLbls>
            <c:dLbl>
              <c:idx val="0"/>
              <c:layout>
                <c:manualLayout>
                  <c:x val="-0.012684848"/>
                  <c:y val="-0.1996345"/>
                </c:manualLayout>
              </c:layout>
              <c:numFmt formatCode="General" sourceLinked="1"/>
              <c:spPr>
                <a:solidFill>
                  <a:srgbClr val="FFFFFF"/>
                </a:solidFill>
                <a:ln w="6350">
                  <a:solidFill>
                    <a:srgbClr val="595959"/>
                  </a:solidFill>
                  <a:prstDash val="solid"/>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a:ea typeface="宋体"/>
                    <a:cs typeface="Lucida San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 (2)'!$A$1</c:f>
              <c:strCache>
                <c:ptCount val="1"/>
                <c:pt idx="0">
                  <c:v>一般公共预算收入</c:v>
                </c:pt>
              </c:strCache>
            </c:strRef>
          </c:cat>
          <c:val>
            <c:numRef>
              <c:f>Sheet1 (2)!$B$1</c:f>
              <c:numCache>
                <c:formatCode>General</c:formatCode>
                <c:ptCount val="1"/>
                <c:pt idx="0">
                  <c:v>2231.23</c:v>
                </c:pt>
              </c:numCache>
            </c:numRef>
          </c:val>
        </c:ser>
        <c:dLbls>
          <c:showLegendKey val="0"/>
          <c:showVal val="0"/>
          <c:showCatName val="1"/>
          <c:showSerName val="0"/>
          <c:showPercent val="1"/>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fcaeeaac-3e3a-42d7-b0a3-4377785ce6bd}"/>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(3)'!$B$1</c:f>
              <c:strCache>
                <c:ptCount val="1"/>
                <c:pt idx="0">
                  <c:v/>
                </c:pt>
              </c:strCache>
            </c:strRef>
          </c:tx>
          <c:spPr>
            <a:solidFill>
              <a:srgbClr val="4F81BD"/>
            </a:solidFill>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(3)'!$A$2:$A$3</c:f>
              <c:strCache>
                <c:ptCount val="2"/>
                <c:pt idx="0">
                  <c:v>基本支出</c:v>
                </c:pt>
                <c:pt idx="1">
                  <c:v>项目支出</c:v>
                </c:pt>
              </c:strCache>
            </c:strRef>
          </c:cat>
          <c:val>
            <c:numRef>
              <c:f>'Sheet1 (3)'!$B$2:$B$3</c:f>
              <c:numCache>
                <c:formatCode>General</c:formatCode>
                <c:ptCount val="2"/>
                <c:pt idx="0">
                  <c:v>1273.84</c:v>
                </c:pt>
                <c:pt idx="1">
                  <c:v>957.38</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Entry>
      <c:layout/>
      <c:overlay val="0"/>
      <c:spPr>
        <a:noFill/>
        <a:ln>
          <a:noFill/>
        </a:ln>
      </c:spPr>
      <c:txPr>
        <a:bodyPr rot="0" spcFirstLastPara="0" vertOverflow="ellipsis" vert="horz" wrap="square" anchor="ctr" anchorCtr="1"/>
        <a:lstStyle/>
        <a:p>
          <a:pPr>
            <a:defRPr lang="zh-CN" sz="14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72407986-5927-4787-bb1f-4188f21b9529}"/>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 (4)'!$B$1</c:f>
              <c:strCache>
                <c:ptCount val="1"/>
                <c:pt idx="0">
                  <c:v>2024年</c:v>
                </c:pt>
              </c:strCache>
            </c:strRef>
          </c:tx>
          <c:spPr>
            <a:solidFill>
              <a:srgbClr val="4F81BD"/>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'Sheet1 (4)'!$B$2:$B$3</c:f>
              <c:numCache>
                <c:formatCode>General</c:formatCode>
                <c:ptCount val="2"/>
                <c:pt idx="0">
                  <c:v>3057.89</c:v>
                </c:pt>
                <c:pt idx="1">
                  <c:v>3057.89</c:v>
                </c:pt>
              </c:numCache>
            </c:numRef>
          </c:val>
        </c:ser>
        <c:ser>
          <c:idx val="1"/>
          <c:order val="1"/>
          <c:tx>
            <c:strRef>
              <c:f>'Sheet1 (4)'!$C$1</c:f>
              <c:strCache>
                <c:ptCount val="1"/>
                <c:pt idx="0">
                  <c:v>2025年</c:v>
                </c:pt>
              </c:strCache>
            </c:strRef>
          </c:tx>
          <c:spPr>
            <a:solidFill>
              <a:srgbClr val="C0504D"/>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'Sheet1 (4)'!$C$2:$C$3</c:f>
              <c:numCache>
                <c:formatCode>General</c:formatCode>
                <c:ptCount val="2"/>
                <c:pt idx="0">
                  <c:v>2231.23</c:v>
                </c:pt>
                <c:pt idx="1">
                  <c:v>2231.23</c:v>
                </c:pt>
              </c:numCache>
            </c:numRef>
          </c:val>
        </c:ser>
        <c:ser>
          <c:idx val="2"/>
          <c:order val="2"/>
          <c:spPr>
            <a:solidFill>
              <a:srgbClr val="9BBB59"/>
            </a:solidFill>
            <a:ln>
              <a:noFill/>
            </a:ln>
          </c:spPr>
          <c:invertIfNegative val="0"/>
          <c:dLbls>
            <c:dLbl>
              <c:idx val="0"/>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(4)'!$A$2:$A$3</c:f>
              <c:strCache>
                <c:ptCount val="2"/>
                <c:pt idx="0">
                  <c:v>财政拨款收入</c:v>
                </c:pt>
                <c:pt idx="1">
                  <c:v>财政拨款支出</c:v>
                </c:pt>
              </c:strCache>
            </c:str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manualLayout>
          <c:xMode val="edge"/>
          <c:yMode val="edge"/>
          <c:x val="0.237161"/>
          <c:y val="0.8708265"/>
          <c:w val="0.4624928"/>
          <c:h val="0.108648054"/>
        </c:manualLayout>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27b27321-7d33-45ad-adae-bb61a1e8eebb}"/>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a:ea typeface="宋体"/>
                <a:cs typeface="Lucida Sans"/>
              </a:defRPr>
            </a:pPr>
            <a:r>
              <a:rPr lang="zh-CN"/>
              <a:t>一般公共预算财政拨款支出</a:t>
            </a:r>
            <a:endParaRPr lang="zh-CN"/>
          </a:p>
        </c:rich>
      </c:tx>
      <c:layout/>
      <c:overlay val="0"/>
      <c:spPr>
        <a:noFill/>
        <a:ln>
          <a:noFill/>
        </a:ln>
      </c:spPr>
    </c:title>
    <c:autoTitleDeleted val="0"/>
    <c:plotArea>
      <c:layout/>
      <c:barChart>
        <c:barDir val="col"/>
        <c:grouping val="clustered"/>
        <c:varyColors val="0"/>
        <c:ser>
          <c:idx val="0"/>
          <c:order val="0"/>
          <c:tx>
            <c:strRef>
              <c:f>'Sheet1 (5)'!$B$1</c:f>
              <c:strCache>
                <c:ptCount val="1"/>
                <c:pt idx="0">
                  <c:v>2024年</c:v>
                </c:pt>
              </c:strCache>
            </c:strRef>
          </c:tx>
          <c:spPr>
            <a:solidFill>
              <a:srgbClr val="4F81BD"/>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Sheet1 (5)!$B$2</c:f>
              <c:numCache>
                <c:formatCode>General</c:formatCode>
                <c:ptCount val="1"/>
                <c:pt idx="0">
                  <c:v>3017.89</c:v>
                </c:pt>
              </c:numCache>
            </c:numRef>
          </c:val>
        </c:ser>
        <c:ser>
          <c:idx val="1"/>
          <c:order val="1"/>
          <c:tx>
            <c:strRef>
              <c:f>'Sheet1 (5)'!$C$1</c:f>
              <c:strCache>
                <c:ptCount val="1"/>
                <c:pt idx="0">
                  <c:v>2025年</c:v>
                </c:pt>
              </c:strCache>
            </c:strRef>
          </c:tx>
          <c:spPr>
            <a:solidFill>
              <a:srgbClr val="C0504D"/>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Sheet1 (5)!$C$2</c:f>
              <c:numCache>
                <c:formatCode>General</c:formatCode>
                <c:ptCount val="1"/>
                <c:pt idx="0">
                  <c:v>2231.23</c:v>
                </c:pt>
              </c:numCache>
            </c:numRef>
          </c:val>
        </c:ser>
        <c:ser>
          <c:idx val="2"/>
          <c:order val="2"/>
          <c:spPr>
            <a:solidFill>
              <a:srgbClr val="9BBB59"/>
            </a:solidFill>
            <a:ln>
              <a:noFill/>
            </a:ln>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(5)'!$A$2</c:f>
              <c:numCache>
                <c:formatCode>General</c:formatCode>
                <c:ptCount val="1"/>
              </c:numCache>
            </c:numRef>
          </c:cat>
          <c:val>
            <c:numRef>
              <c:f>{1}</c:f>
              <c:numCache>
                <c:formatCode>General</c:formatCode>
                <c:ptCount val="1"/>
                <c:pt idx="0">
                  <c:v>1</c:v>
                </c:pt>
              </c:numCache>
            </c:numRef>
          </c:val>
        </c:ser>
        <c:dLbls>
          <c:showLegendKey val="0"/>
          <c:showVal val="0"/>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crossAx val="0"/>
        <c:crossesAt val="1"/>
        <c:crossBetween val="between"/>
      </c:valAx>
      <c:spPr>
        <a:noFill/>
        <a:ln>
          <a:noFill/>
        </a:ln>
      </c:spPr>
    </c:plotArea>
    <c:legend>
      <c:legendPos val="b"/>
      <c:legendEntry>
        <c:idx val="0"/>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Entry>
      <c:legendEntry>
        <c:idx val="2"/>
        <c:delete val="1"/>
      </c:legendEntry>
      <c:layout>
        <c:manualLayout>
          <c:xMode val="edge"/>
          <c:yMode val="edge"/>
          <c:x val="0.2727712"/>
          <c:y val="0.8754781"/>
          <c:w val="0.29004592"/>
          <c:h val="0.10220995"/>
        </c:manualLayout>
      </c:layout>
      <c:overlay val="0"/>
      <c:spPr>
        <a:noFill/>
        <a:ln>
          <a:noFill/>
        </a:ln>
      </c:spPr>
      <c:txPr>
        <a:bodyPr rot="0" spcFirstLastPara="0" vertOverflow="ellipsis" vert="horz" wrap="square" anchor="ctr" anchorCtr="1"/>
        <a:lstStyle/>
        <a:p>
          <a:pPr>
            <a:defRPr lang="zh-CN" sz="12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c0603a5c-51c9-479c-add4-17ff52087c2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(6)'!$B$1</c:f>
              <c:strCache>
                <c:ptCount val="1"/>
                <c:pt idx="0">
                  <c:v>销售额</c:v>
                </c:pt>
              </c:strCache>
            </c:strRef>
          </c:tx>
          <c:spPr>
            <a:solidFill>
              <a:srgbClr val="4F81BD"/>
            </a:solidFill>
            <a:ln>
              <a:noFill/>
            </a:ln>
          </c:spPr>
          <c:explosion val="0"/>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Pt>
            <c:idx val="5"/>
            <c:bubble3D val="0"/>
            <c:spPr>
              <a:solidFill>
                <a:srgbClr val="F79646"/>
              </a:solidFill>
              <a:ln w="19050">
                <a:solidFill>
                  <a:srgbClr val="FFFFFF"/>
                </a:solidFill>
                <a:prstDash val="solid"/>
              </a:ln>
            </c:spPr>
          </c:dPt>
          <c:dLbls>
            <c:dLbl>
              <c:idx val="0"/>
              <c:delete val="1"/>
            </c:dLbl>
            <c:dLbl>
              <c:idx val="1"/>
              <c:delete val="1"/>
            </c:dLbl>
            <c:dLbl>
              <c:idx val="2"/>
              <c:delete val="1"/>
            </c:dLbl>
            <c:dLbl>
              <c:idx val="3"/>
              <c:delete val="1"/>
            </c:dLbl>
            <c:dLbl>
              <c:idx val="4"/>
              <c:delete val="1"/>
            </c:dLbl>
            <c:dLbl>
              <c:idx val="5"/>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(6)'!$A$2:$A$7</c:f>
              <c:strCache>
                <c:ptCount val="6"/>
                <c:pt idx="0">
                  <c:v>一般公共预算支出</c:v>
                </c:pt>
                <c:pt idx="1">
                  <c:v>文化旅游体育与传媒支出</c:v>
                </c:pt>
                <c:pt idx="2">
                  <c:v>社会保障和就业支出</c:v>
                </c:pt>
                <c:pt idx="3">
                  <c:v>卫生健康支出</c:v>
                </c:pt>
                <c:pt idx="4">
                  <c:v>住房保障支出</c:v>
                </c:pt>
                <c:pt idx="5">
                  <c:v>教育支出</c:v>
                </c:pt>
              </c:strCache>
            </c:strRef>
          </c:cat>
          <c:val>
            <c:numRef>
              <c:f>'Sheet1 (6)'!$B$2:$B$7</c:f>
              <c:numCache>
                <c:formatCode>General</c:formatCode>
                <c:ptCount val="6"/>
                <c:pt idx="0">
                  <c:v>1972.67</c:v>
                </c:pt>
                <c:pt idx="1">
                  <c:v>3</c:v>
                </c:pt>
                <c:pt idx="2">
                  <c:v>114.28</c:v>
                </c:pt>
                <c:pt idx="3">
                  <c:v>51.07</c:v>
                </c:pt>
                <c:pt idx="4">
                  <c:v>81.49</c:v>
                </c:pt>
                <c:pt idx="5">
                  <c:v>8.72</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2f1af884-3028-440d-a661-73f84723bdc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(7)'!$B$1</c:f>
              <c:strCache>
                <c:ptCount val="1"/>
                <c:pt idx="0">
                  <c:v/>
                </c:pt>
              </c:strCache>
            </c:strRef>
          </c:tx>
          <c:spPr>
            <a:solidFill>
              <a:srgbClr val="4F81BD"/>
            </a:solidFill>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a:ea typeface="宋体"/>
                    <a:cs typeface="Lucida Sans"/>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(7)'!$A$2:$A$3</c:f>
              <c:strCache>
                <c:ptCount val="2"/>
                <c:pt idx="0">
                  <c:v>公务用车及运行维护费</c:v>
                </c:pt>
                <c:pt idx="1">
                  <c:v>公务接待费</c:v>
                </c:pt>
              </c:strCache>
            </c:strRef>
          </c:cat>
          <c:val>
            <c:numRef>
              <c:f>'Sheet1 (7)'!$B$2:$B$3</c:f>
              <c:numCache>
                <c:formatCode>General</c:formatCode>
                <c:ptCount val="2"/>
                <c:pt idx="0">
                  <c:v>22.53</c:v>
                </c:pt>
                <c:pt idx="1">
                  <c:v>6.23</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Entry>
      <c:legendEntry>
        <c:idx val="1"/>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Entry>
      <c:layout>
        <c:manualLayout>
          <c:xMode val="edge"/>
          <c:yMode val="edge"/>
          <c:x val="0.3068374"/>
          <c:y val="0.015512113"/>
          <c:w val="0.39007005"/>
          <c:h val="0.14492138"/>
        </c:manualLayout>
      </c:layout>
      <c:overlay val="0"/>
      <c:spPr>
        <a:noFill/>
        <a:ln>
          <a:noFill/>
        </a:ln>
      </c:spPr>
      <c:txPr>
        <a:bodyPr rot="0" spcFirstLastPara="0" vertOverflow="ellipsis" vert="horz" wrap="square" anchor="ctr" anchorCtr="1"/>
        <a:lstStyle/>
        <a:p>
          <a:pPr>
            <a:defRPr lang="zh-CN" sz="1050" b="0" i="0" u="none" strike="noStrike" kern="1200" baseline="0">
              <a:solidFill>
                <a:srgbClr val="595959"/>
              </a:solidFill>
              <a:latin typeface="Times New Roman"/>
              <a:ea typeface="宋体"/>
              <a:cs typeface="Lucida Sans"/>
            </a:defRPr>
          </a:pPr>
        </a:p>
      </c:txPr>
    </c:legend>
    <c:plotVisOnly val="1"/>
    <c:dispBlanksAs val="gap"/>
    <c:showDLblsOverMax val="0"/>
    <c:extLst>
      <c:ext uri="{0b15fc19-7d7d-44ad-8c2d-2c3a37ce22c3}">
        <chartProps xmlns="https://web.wps.cn/et/2018/main" chartId="{d3124147-be59-4d75-85a3-d5ecb02d704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a:ea typeface="宋体"/>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85</Pages>
  <Words>29696</Words>
  <Characters>33294</Characters>
  <Lines>4365</Lines>
  <Paragraphs>2748</Paragraphs>
  <TotalTime>15</TotalTime>
  <ScaleCrop>false</ScaleCrop>
  <LinksUpToDate>false</LinksUpToDate>
  <CharactersWithSpaces>33394</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2020-08-14T09:49:00Z</dcterms:created>
  <dc:creator>曹颖</dc:creator>
  <cp:lastModifiedBy>user</cp:lastModifiedBy>
  <cp:lastPrinted>2026-09-18T16:24:37Z</cp:lastPrinted>
  <dcterms:modified xsi:type="dcterms:W3CDTF">2026-09-18T16:35:44Z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38D02146CCD9E86E6C7BA36A410B5DCE_43</vt:lpwstr>
  </property>
  <property fmtid="{D5CDD505-2E9C-101B-9397-08002B2CF9AE}" pid="4" name="KSOTemplateDocerSaveRecord">
    <vt:lpwstr>eyJoZGlkIjoiNTEwZjczMTk5N2RhMDczZjdlZWQzZWEyOTI3ODdiZjIiLCJ1c2VySWQiOiIyMzQ4MDE3OTMifQ==</vt:lpwstr>
  </property>
</Properties>
</file>