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5B5268">
      <w:pPr>
        <w:pStyle w:val="20"/>
        <w:pageBreakBefore w:val="0"/>
        <w:kinsoku/>
        <w:wordWrap/>
        <w:overflowPunct/>
        <w:topLinePunct w:val="0"/>
        <w:autoSpaceDE/>
        <w:autoSpaceDN/>
        <w:bidi w:val="0"/>
        <w:spacing w:line="240" w:lineRule="auto"/>
        <w:textAlignment w:val="auto"/>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bookmarkStart w:id="68" w:name="_GoBack"/>
      <w:bookmarkEnd w:id="68"/>
      <w:bookmarkStart w:id="0" w:name="_Toc15378441"/>
      <w:bookmarkStart w:id="1" w:name="_Toc15377193"/>
      <w:bookmarkStart w:id="2" w:name="_Toc15377425"/>
      <w:bookmarkStart w:id="3" w:name="_Toc15396597"/>
      <w:bookmarkStart w:id="4" w:name="_Toc15396475"/>
      <w:bookmarkStart w:id="5" w:name="_Toc15306267"/>
    </w:p>
    <w:p w14:paraId="6ECCB365">
      <w:pPr>
        <w:pageBreakBefore w:val="0"/>
        <w:kinsoku/>
        <w:wordWrap/>
        <w:overflowPunct/>
        <w:topLinePunct w:val="0"/>
        <w:autoSpaceDE/>
        <w:autoSpaceDN/>
        <w:bidi w:val="0"/>
        <w:spacing w:line="240" w:lineRule="auto"/>
        <w:textAlignment w:val="auto"/>
        <w:rPr>
          <w:rFonts w:ascii="Times New Roman" w:hAnsi="Times New Roman"/>
        </w:rPr>
      </w:pPr>
    </w:p>
    <w:p w14:paraId="0A2483B7">
      <w:pPr>
        <w:pStyle w:val="2"/>
        <w:pageBreakBefore w:val="0"/>
        <w:kinsoku/>
        <w:wordWrap/>
        <w:overflowPunct/>
        <w:topLinePunct w:val="0"/>
        <w:autoSpaceDE/>
        <w:autoSpaceDN/>
        <w:bidi w:val="0"/>
        <w:spacing w:line="240" w:lineRule="auto"/>
        <w:jc w:val="center"/>
        <w:textAlignment w:val="auto"/>
        <w:rPr>
          <w:rFonts w:hint="eastAsia" w:ascii="Times New Roman" w:hAnsi="Times New Roman" w:eastAsia="方正小标宋简体" w:cs="Times New Roman"/>
          <w:color w:val="auto"/>
          <w:kern w:val="2"/>
          <w:sz w:val="44"/>
          <w:szCs w:val="44"/>
          <w:highlight w:val="none"/>
          <w:lang w:val="en-US" w:eastAsia="zh-CN" w:bidi="ar-SA"/>
        </w:rPr>
      </w:pPr>
    </w:p>
    <w:p w14:paraId="31DBE764">
      <w:pPr>
        <w:pStyle w:val="2"/>
        <w:pageBreakBefore w:val="0"/>
        <w:kinsoku/>
        <w:wordWrap/>
        <w:overflowPunct/>
        <w:topLinePunct w:val="0"/>
        <w:autoSpaceDE/>
        <w:autoSpaceDN/>
        <w:bidi w:val="0"/>
        <w:spacing w:line="240" w:lineRule="auto"/>
        <w:jc w:val="center"/>
        <w:textAlignment w:val="auto"/>
        <w:rPr>
          <w:rFonts w:hint="eastAsia" w:ascii="Times New Roman" w:hAnsi="Times New Roman" w:eastAsia="方正小标宋简体" w:cs="Times New Roman"/>
          <w:color w:val="auto"/>
          <w:kern w:val="2"/>
          <w:sz w:val="44"/>
          <w:szCs w:val="44"/>
          <w:highlight w:val="none"/>
          <w:lang w:val="en-US" w:eastAsia="zh-CN" w:bidi="ar-SA"/>
        </w:rPr>
      </w:pPr>
    </w:p>
    <w:p w14:paraId="3C6B6576">
      <w:pPr>
        <w:pStyle w:val="2"/>
        <w:pageBreakBefore w:val="0"/>
        <w:kinsoku/>
        <w:wordWrap/>
        <w:overflowPunct/>
        <w:topLinePunct w:val="0"/>
        <w:autoSpaceDE/>
        <w:autoSpaceDN/>
        <w:bidi w:val="0"/>
        <w:spacing w:line="240" w:lineRule="auto"/>
        <w:jc w:val="center"/>
        <w:textAlignment w:val="auto"/>
        <w:rPr>
          <w:rFonts w:hint="eastAsia" w:ascii="Times New Roman" w:hAnsi="Times New Roman" w:eastAsia="方正小标宋简体" w:cs="Times New Roman"/>
          <w:color w:val="auto"/>
          <w:kern w:val="2"/>
          <w:sz w:val="44"/>
          <w:szCs w:val="44"/>
          <w:highlight w:val="none"/>
          <w:lang w:val="en-US" w:eastAsia="zh-CN" w:bidi="ar-SA"/>
        </w:rPr>
      </w:pPr>
    </w:p>
    <w:p w14:paraId="25F4B616">
      <w:pPr>
        <w:pStyle w:val="2"/>
        <w:pageBreakBefore w:val="0"/>
        <w:kinsoku/>
        <w:wordWrap/>
        <w:overflowPunct/>
        <w:topLinePunct w:val="0"/>
        <w:autoSpaceDE/>
        <w:autoSpaceDN/>
        <w:bidi w:val="0"/>
        <w:spacing w:line="240" w:lineRule="auto"/>
        <w:jc w:val="center"/>
        <w:textAlignment w:val="auto"/>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2E5C8B8A">
      <w:pPr>
        <w:pStyle w:val="15"/>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140" w:afterAutospacing="0" w:line="274" w:lineRule="auto"/>
        <w:ind w:left="0" w:right="0"/>
        <w:jc w:val="center"/>
        <w:textAlignment w:val="auto"/>
        <w:outlineLvl w:val="9"/>
        <w:rPr>
          <w:rFonts w:hint="eastAsia" w:ascii="Times New Roman" w:hAnsi="Times New Roman" w:eastAsia="方正小标宋简体" w:cs="方正小标宋简体"/>
          <w:kern w:val="2"/>
          <w:sz w:val="72"/>
          <w:szCs w:val="72"/>
          <w:lang w:val="en-US" w:eastAsia="zh-CN"/>
        </w:rPr>
      </w:pPr>
      <w:bookmarkStart w:id="6" w:name="_Toc15396598"/>
      <w:bookmarkStart w:id="7" w:name="_Toc15396476"/>
      <w:bookmarkStart w:id="8" w:name="_Toc15378442"/>
      <w:bookmarkStart w:id="9" w:name="_Toc15377194"/>
      <w:bookmarkStart w:id="10" w:name="_Toc15377426"/>
      <w:r>
        <w:rPr>
          <w:rFonts w:hint="eastAsia" w:ascii="Times New Roman" w:hAnsi="Times New Roman" w:eastAsia="方正小标宋简体" w:cs="方正小标宋简体"/>
          <w:kern w:val="2"/>
          <w:sz w:val="72"/>
          <w:szCs w:val="72"/>
          <w:lang w:val="en-US" w:eastAsia="zh-CN"/>
        </w:rPr>
        <w:t>2025年度</w:t>
      </w:r>
      <w:bookmarkEnd w:id="5"/>
      <w:bookmarkStart w:id="11" w:name="_Toc15306268"/>
    </w:p>
    <w:p w14:paraId="2676BDB8">
      <w:pPr>
        <w:pStyle w:val="15"/>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140" w:afterAutospacing="0" w:line="274" w:lineRule="auto"/>
        <w:ind w:left="0" w:right="0"/>
        <w:jc w:val="center"/>
        <w:textAlignment w:val="auto"/>
        <w:outlineLvl w:val="9"/>
        <w:rPr>
          <w:rFonts w:hint="eastAsia" w:ascii="Times New Roman" w:hAnsi="Times New Roman" w:eastAsia="方正小标宋简体" w:cs="方正小标宋简体"/>
          <w:kern w:val="2"/>
          <w:sz w:val="72"/>
          <w:szCs w:val="72"/>
          <w:lang w:val="en-US" w:eastAsia="zh-CN"/>
        </w:rPr>
      </w:pPr>
      <w:r>
        <w:rPr>
          <w:rFonts w:hint="eastAsia" w:ascii="Times New Roman" w:hAnsi="Times New Roman" w:eastAsia="方正小标宋简体" w:cs="方正小标宋简体"/>
          <w:kern w:val="2"/>
          <w:sz w:val="72"/>
          <w:szCs w:val="72"/>
          <w:lang w:val="en-US" w:eastAsia="zh-CN"/>
        </w:rPr>
        <w:t>中共巴中市委网络安全和信息化委员会办公室决算</w:t>
      </w:r>
      <w:bookmarkEnd w:id="6"/>
      <w:bookmarkEnd w:id="7"/>
      <w:bookmarkEnd w:id="8"/>
      <w:bookmarkEnd w:id="9"/>
      <w:bookmarkEnd w:id="10"/>
      <w:bookmarkEnd w:id="11"/>
    </w:p>
    <w:p w14:paraId="79ECED4F">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黑体"/>
          <w:color w:val="auto"/>
          <w:sz w:val="48"/>
          <w:szCs w:val="48"/>
          <w:highlight w:val="none"/>
        </w:rPr>
      </w:pPr>
    </w:p>
    <w:p w14:paraId="47EB7551">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黑体"/>
          <w:color w:val="auto"/>
          <w:sz w:val="48"/>
          <w:szCs w:val="48"/>
          <w:highlight w:val="none"/>
        </w:rPr>
      </w:pPr>
    </w:p>
    <w:p w14:paraId="445BAAC8">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黑体"/>
          <w:color w:val="auto"/>
          <w:sz w:val="48"/>
          <w:szCs w:val="48"/>
          <w:highlight w:val="none"/>
        </w:rPr>
      </w:pPr>
    </w:p>
    <w:p w14:paraId="1A56C6B0">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黑体"/>
          <w:color w:val="auto"/>
          <w:sz w:val="48"/>
          <w:szCs w:val="48"/>
          <w:highlight w:val="none"/>
        </w:rPr>
      </w:pPr>
    </w:p>
    <w:p w14:paraId="789BC1A3">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黑体"/>
          <w:color w:val="auto"/>
          <w:sz w:val="48"/>
          <w:szCs w:val="48"/>
          <w:highlight w:val="none"/>
        </w:rPr>
      </w:pPr>
    </w:p>
    <w:p w14:paraId="30801040">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黑体"/>
          <w:color w:val="auto"/>
          <w:sz w:val="48"/>
          <w:szCs w:val="48"/>
          <w:highlight w:val="none"/>
        </w:rPr>
      </w:pPr>
    </w:p>
    <w:p w14:paraId="3333DD2E">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黑体"/>
          <w:color w:val="auto"/>
          <w:sz w:val="48"/>
          <w:szCs w:val="48"/>
          <w:highlight w:val="none"/>
        </w:rPr>
      </w:pPr>
    </w:p>
    <w:p w14:paraId="66EA7C9D">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黑体"/>
          <w:color w:val="auto"/>
          <w:sz w:val="48"/>
          <w:szCs w:val="48"/>
          <w:highlight w:val="none"/>
        </w:rPr>
      </w:pPr>
    </w:p>
    <w:p w14:paraId="38B5AC03">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黑体"/>
          <w:color w:val="auto"/>
          <w:sz w:val="48"/>
          <w:szCs w:val="48"/>
          <w:highlight w:val="none"/>
        </w:rPr>
      </w:pPr>
    </w:p>
    <w:p w14:paraId="4B4F58C9">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黑体"/>
          <w:color w:val="auto"/>
          <w:sz w:val="48"/>
          <w:szCs w:val="48"/>
          <w:highlight w:val="none"/>
        </w:rPr>
      </w:pPr>
    </w:p>
    <w:p w14:paraId="600941CF">
      <w:pPr>
        <w:pageBreakBefore w:val="0"/>
        <w:widowControl/>
        <w:kinsoku/>
        <w:wordWrap/>
        <w:overflowPunct/>
        <w:topLinePunct w:val="0"/>
        <w:autoSpaceDE/>
        <w:autoSpaceDN/>
        <w:bidi w:val="0"/>
        <w:spacing w:line="240" w:lineRule="auto"/>
        <w:jc w:val="center"/>
        <w:textAlignment w:val="auto"/>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64A7A4E8">
      <w:pPr>
        <w:pageBreakBefore w:val="0"/>
        <w:widowControl/>
        <w:kinsoku/>
        <w:wordWrap/>
        <w:overflowPunct/>
        <w:topLinePunct w:val="0"/>
        <w:autoSpaceDE/>
        <w:autoSpaceDN/>
        <w:bidi w:val="0"/>
        <w:spacing w:line="240" w:lineRule="auto"/>
        <w:jc w:val="center"/>
        <w:textAlignment w:val="auto"/>
        <w:rPr>
          <w:rFonts w:ascii="Times New Roman" w:hAnsi="Times New Roman" w:eastAsia="黑体" w:cstheme="minorBidi"/>
          <w:color w:val="auto"/>
          <w:sz w:val="28"/>
          <w:szCs w:val="28"/>
          <w:highlight w:val="none"/>
        </w:rPr>
      </w:pPr>
    </w:p>
    <w:p w14:paraId="5790F88B">
      <w:pPr>
        <w:pStyle w:val="12"/>
        <w:pageBreakBefore w:val="0"/>
        <w:kinsoku/>
        <w:wordWrap/>
        <w:overflowPunct/>
        <w:topLinePunct w:val="0"/>
        <w:autoSpaceDE/>
        <w:autoSpaceDN/>
        <w:bidi w:val="0"/>
        <w:spacing w:line="240" w:lineRule="auto"/>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p w14:paraId="7E88073C">
      <w:pPr>
        <w:pageBreakBefore w:val="0"/>
        <w:kinsoku/>
        <w:wordWrap/>
        <w:overflowPunct/>
        <w:topLinePunct w:val="0"/>
        <w:autoSpaceDE/>
        <w:autoSpaceDN/>
        <w:bidi w:val="0"/>
        <w:spacing w:line="240" w:lineRule="auto"/>
        <w:textAlignment w:val="auto"/>
        <w:rPr>
          <w:rFonts w:ascii="Times New Roman" w:hAnsi="Times New Roman"/>
          <w:color w:val="auto"/>
          <w:highlight w:val="none"/>
        </w:rPr>
      </w:pPr>
    </w:p>
    <w:p w14:paraId="718027DE">
      <w:pPr>
        <w:pStyle w:val="12"/>
        <w:keepNext w:val="0"/>
        <w:keepLines w:val="0"/>
        <w:pageBreakBefore w:val="0"/>
        <w:kinsoku/>
        <w:wordWrap/>
        <w:overflowPunct/>
        <w:topLinePunct w:val="0"/>
        <w:autoSpaceDE/>
        <w:autoSpaceDN/>
        <w:bidi w:val="0"/>
        <w:adjustRightInd w:val="0"/>
        <w:snapToGrid w:val="0"/>
        <w:spacing w:before="0" w:line="240" w:lineRule="auto"/>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3F45FCC1">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7376C73F">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0C84C7DA">
      <w:pPr>
        <w:pStyle w:val="12"/>
        <w:keepNext w:val="0"/>
        <w:keepLines w:val="0"/>
        <w:pageBreakBefore w:val="0"/>
        <w:kinsoku/>
        <w:wordWrap/>
        <w:overflowPunct/>
        <w:topLinePunct w:val="0"/>
        <w:autoSpaceDE/>
        <w:autoSpaceDN/>
        <w:bidi w:val="0"/>
        <w:adjustRightInd w:val="0"/>
        <w:snapToGrid w:val="0"/>
        <w:spacing w:before="0" w:line="240" w:lineRule="auto"/>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7B03481B">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3DBC927A">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2D50350B">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70B94183">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79C74FAF">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35D1969A">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1D1D28C1">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763E5173">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1E6BE9B9">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33E472D7">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697DF93F">
      <w:pPr>
        <w:pStyle w:val="12"/>
        <w:keepNext w:val="0"/>
        <w:keepLines w:val="0"/>
        <w:pageBreakBefore w:val="0"/>
        <w:kinsoku/>
        <w:wordWrap/>
        <w:overflowPunct/>
        <w:topLinePunct w:val="0"/>
        <w:autoSpaceDE/>
        <w:autoSpaceDN/>
        <w:bidi w:val="0"/>
        <w:adjustRightInd w:val="0"/>
        <w:snapToGrid w:val="0"/>
        <w:spacing w:before="0" w:line="240" w:lineRule="auto"/>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4949595C">
      <w:pPr>
        <w:pStyle w:val="12"/>
        <w:keepNext w:val="0"/>
        <w:keepLines w:val="0"/>
        <w:pageBreakBefore w:val="0"/>
        <w:kinsoku/>
        <w:wordWrap/>
        <w:overflowPunct/>
        <w:topLinePunct w:val="0"/>
        <w:autoSpaceDE/>
        <w:autoSpaceDN/>
        <w:bidi w:val="0"/>
        <w:adjustRightInd w:val="0"/>
        <w:snapToGrid w:val="0"/>
        <w:spacing w:before="0" w:line="240" w:lineRule="auto"/>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1994856F">
      <w:pPr>
        <w:pStyle w:val="12"/>
        <w:keepNext w:val="0"/>
        <w:keepLines w:val="0"/>
        <w:pageBreakBefore w:val="0"/>
        <w:kinsoku/>
        <w:wordWrap/>
        <w:overflowPunct/>
        <w:topLinePunct w:val="0"/>
        <w:autoSpaceDE/>
        <w:autoSpaceDN/>
        <w:bidi w:val="0"/>
        <w:adjustRightInd w:val="0"/>
        <w:snapToGrid w:val="0"/>
        <w:spacing w:before="0" w:line="240" w:lineRule="auto"/>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0B64DED0">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4AB43972">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41F638FC">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255C9B29">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28D5B220">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5F206FED">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34546F1E">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72A6B5B9">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5B833F4C">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707A3868">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1AFE749A">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208D6485">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575DFE0D">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3435AF86">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1751E08B">
      <w:pPr>
        <w:keepNext w:val="0"/>
        <w:keepLines w:val="0"/>
        <w:pageBreakBefore w:val="0"/>
        <w:widowControl/>
        <w:kinsoku/>
        <w:wordWrap/>
        <w:overflowPunct/>
        <w:topLinePunct w:val="0"/>
        <w:autoSpaceDE/>
        <w:autoSpaceDN/>
        <w:bidi w:val="0"/>
        <w:spacing w:line="240" w:lineRule="auto"/>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41849E77">
      <w:pPr>
        <w:pStyle w:val="3"/>
        <w:pageBreakBefore w:val="0"/>
        <w:kinsoku/>
        <w:wordWrap/>
        <w:overflowPunct/>
        <w:topLinePunct w:val="0"/>
        <w:autoSpaceDE/>
        <w:autoSpaceDN/>
        <w:bidi w:val="0"/>
        <w:spacing w:line="240" w:lineRule="auto"/>
        <w:jc w:val="center"/>
        <w:textAlignment w:val="auto"/>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12"/>
      <w:bookmarkEnd w:id="13"/>
    </w:p>
    <w:p w14:paraId="6851B677">
      <w:pPr>
        <w:pageBreakBefore w:val="0"/>
        <w:widowControl/>
        <w:kinsoku/>
        <w:wordWrap/>
        <w:overflowPunct/>
        <w:topLinePunct w:val="0"/>
        <w:autoSpaceDE/>
        <w:autoSpaceDN/>
        <w:bidi w:val="0"/>
        <w:spacing w:line="240" w:lineRule="auto"/>
        <w:jc w:val="left"/>
        <w:textAlignment w:val="auto"/>
        <w:rPr>
          <w:rFonts w:ascii="Times New Roman" w:hAnsi="Times New Roman" w:eastAsia="黑体"/>
          <w:color w:val="auto"/>
          <w:sz w:val="32"/>
          <w:szCs w:val="32"/>
          <w:highlight w:val="none"/>
        </w:rPr>
      </w:pPr>
    </w:p>
    <w:p w14:paraId="74F6A062">
      <w:pPr>
        <w:pStyle w:val="4"/>
        <w:pageBreakBefore w:val="0"/>
        <w:kinsoku/>
        <w:wordWrap/>
        <w:overflowPunct/>
        <w:topLinePunct w:val="0"/>
        <w:autoSpaceDE/>
        <w:autoSpaceDN/>
        <w:bidi w:val="0"/>
        <w:spacing w:line="240" w:lineRule="auto"/>
        <w:textAlignment w:val="auto"/>
        <w:rPr>
          <w:rStyle w:val="30"/>
          <w:rFonts w:hint="eastAsia" w:ascii="Times New Roman" w:hAnsi="Times New Roman" w:eastAsia="黑体"/>
          <w:b w:val="0"/>
          <w:bCs w:val="0"/>
          <w:color w:val="auto"/>
          <w:highlight w:val="none"/>
          <w:lang w:eastAsia="zh-CN"/>
        </w:rPr>
      </w:pPr>
      <w:bookmarkStart w:id="14" w:name="_Toc15377197"/>
      <w:bookmarkStart w:id="15" w:name="_Toc15396600"/>
      <w:r>
        <w:rPr>
          <w:rFonts w:hint="eastAsia" w:ascii="Times New Roman" w:hAnsi="Times New Roman" w:eastAsia="黑体"/>
          <w:b w:val="0"/>
          <w:color w:val="auto"/>
          <w:highlight w:val="none"/>
        </w:rPr>
        <w:t>一、</w:t>
      </w:r>
      <w:bookmarkEnd w:id="14"/>
      <w:bookmarkEnd w:id="15"/>
      <w:r>
        <w:rPr>
          <w:rFonts w:hint="eastAsia" w:ascii="Times New Roman" w:hAnsi="Times New Roman" w:eastAsia="黑体"/>
          <w:b w:val="0"/>
          <w:color w:val="auto"/>
          <w:highlight w:val="none"/>
          <w:lang w:eastAsia="zh-CN"/>
        </w:rPr>
        <w:t>部门职责</w:t>
      </w:r>
    </w:p>
    <w:p w14:paraId="70A9C202">
      <w:pPr>
        <w:keepNext w:val="0"/>
        <w:keepLines w:val="0"/>
        <w:pageBreakBefore w:val="0"/>
        <w:widowControl w:val="0"/>
        <w:kinsoku/>
        <w:wordWrap/>
        <w:overflowPunct/>
        <w:topLinePunct w:val="0"/>
        <w:autoSpaceDE/>
        <w:autoSpaceDN/>
        <w:bidi w:val="0"/>
        <w:adjustRightInd/>
        <w:snapToGrid w:val="0"/>
        <w:spacing w:line="240" w:lineRule="auto"/>
        <w:ind w:firstLine="640" w:firstLineChars="200"/>
        <w:textAlignment w:val="auto"/>
        <w:rPr>
          <w:rFonts w:hint="eastAsia" w:ascii="仿宋_GB2312" w:eastAsia="仿宋_GB2312"/>
          <w:color w:val="auto"/>
          <w:sz w:val="32"/>
          <w:szCs w:val="32"/>
          <w:highlight w:val="none"/>
          <w:u w:val="none"/>
        </w:rPr>
      </w:pPr>
      <w:bookmarkStart w:id="16" w:name="_Toc15396601"/>
      <w:bookmarkStart w:id="17" w:name="_Toc15377200"/>
      <w:r>
        <w:rPr>
          <w:rFonts w:hint="eastAsia" w:ascii="仿宋_GB2312" w:eastAsia="仿宋_GB2312"/>
          <w:color w:val="auto"/>
          <w:sz w:val="32"/>
          <w:szCs w:val="32"/>
          <w:highlight w:val="none"/>
          <w:u w:val="none"/>
        </w:rPr>
        <w:t>工作内容涉密（略）。</w:t>
      </w:r>
    </w:p>
    <w:p w14:paraId="48693F53">
      <w:pPr>
        <w:pStyle w:val="4"/>
        <w:pageBreakBefore w:val="0"/>
        <w:kinsoku/>
        <w:wordWrap/>
        <w:overflowPunct/>
        <w:topLinePunct w:val="0"/>
        <w:autoSpaceDE/>
        <w:autoSpaceDN/>
        <w:bidi w:val="0"/>
        <w:spacing w:line="240" w:lineRule="auto"/>
        <w:textAlignment w:val="auto"/>
        <w:rPr>
          <w:rStyle w:val="30"/>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6"/>
      <w:bookmarkEnd w:id="17"/>
    </w:p>
    <w:p w14:paraId="489A93A2">
      <w:pPr>
        <w:keepNext w:val="0"/>
        <w:keepLines w:val="0"/>
        <w:pageBreakBefore w:val="0"/>
        <w:widowControl w:val="0"/>
        <w:kinsoku/>
        <w:wordWrap/>
        <w:overflowPunct/>
        <w:topLinePunct w:val="0"/>
        <w:autoSpaceDE/>
        <w:autoSpaceDN/>
        <w:bidi w:val="0"/>
        <w:adjustRightInd/>
        <w:snapToGrid w:val="0"/>
        <w:spacing w:line="240" w:lineRule="auto"/>
        <w:ind w:firstLine="640" w:firstLineChars="200"/>
        <w:textAlignment w:val="auto"/>
        <w:rPr>
          <w:rFonts w:hint="eastAsia" w:ascii="仿宋_GB2312" w:eastAsia="仿宋_GB2312"/>
          <w:color w:val="auto"/>
          <w:sz w:val="32"/>
          <w:szCs w:val="32"/>
          <w:highlight w:val="none"/>
          <w:u w:val="none"/>
        </w:rPr>
      </w:pPr>
      <w:r>
        <w:rPr>
          <w:rFonts w:hint="eastAsia" w:ascii="仿宋_GB2312" w:eastAsia="仿宋_GB2312"/>
          <w:color w:val="auto"/>
          <w:sz w:val="32"/>
          <w:szCs w:val="32"/>
          <w:highlight w:val="none"/>
          <w:u w:val="none"/>
        </w:rPr>
        <w:t>工作内容涉密（略）。</w:t>
      </w:r>
    </w:p>
    <w:p w14:paraId="74683EF8">
      <w:pPr>
        <w:pageBreakBefore w:val="0"/>
        <w:widowControl/>
        <w:kinsoku/>
        <w:wordWrap/>
        <w:overflowPunct/>
        <w:topLinePunct w:val="0"/>
        <w:autoSpaceDE/>
        <w:autoSpaceDN/>
        <w:bidi w:val="0"/>
        <w:spacing w:line="240" w:lineRule="auto"/>
        <w:jc w:val="left"/>
        <w:textAlignment w:val="auto"/>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727E6CFC">
      <w:pPr>
        <w:pStyle w:val="3"/>
        <w:pageBreakBefore w:val="0"/>
        <w:kinsoku/>
        <w:wordWrap/>
        <w:overflowPunct/>
        <w:topLinePunct w:val="0"/>
        <w:autoSpaceDE/>
        <w:autoSpaceDN/>
        <w:bidi w:val="0"/>
        <w:spacing w:line="240" w:lineRule="auto"/>
        <w:jc w:val="center"/>
        <w:textAlignment w:val="auto"/>
        <w:rPr>
          <w:rFonts w:hint="eastAsia" w:ascii="Times New Roman" w:hAnsi="Times New Roman" w:eastAsia="方正小标宋简体" w:cs="方正小标宋简体"/>
          <w:b w:val="0"/>
          <w:color w:val="auto"/>
          <w:highlight w:val="none"/>
        </w:rPr>
      </w:pPr>
      <w:bookmarkStart w:id="18" w:name="_Toc15396602"/>
      <w:bookmarkStart w:id="19"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8"/>
      <w:bookmarkEnd w:id="19"/>
    </w:p>
    <w:p w14:paraId="6CBC4BDE">
      <w:pPr>
        <w:pageBreakBefore w:val="0"/>
        <w:kinsoku/>
        <w:wordWrap/>
        <w:overflowPunct/>
        <w:topLinePunct w:val="0"/>
        <w:autoSpaceDE/>
        <w:autoSpaceDN/>
        <w:bidi w:val="0"/>
        <w:spacing w:line="240" w:lineRule="auto"/>
        <w:textAlignment w:val="auto"/>
        <w:rPr>
          <w:rFonts w:ascii="Times New Roman" w:hAnsi="Times New Roman"/>
          <w:color w:val="auto"/>
          <w:highlight w:val="none"/>
        </w:rPr>
      </w:pPr>
    </w:p>
    <w:p w14:paraId="42BE3ACD">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Style w:val="30"/>
          <w:rFonts w:hint="eastAsia" w:ascii="Times New Roman" w:hAnsi="Times New Roman" w:eastAsia="黑体"/>
          <w:b w:val="0"/>
          <w:color w:val="auto"/>
          <w:highlight w:val="none"/>
        </w:rPr>
      </w:pPr>
      <w:bookmarkStart w:id="20" w:name="_Toc15396603"/>
      <w:bookmarkStart w:id="21"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20"/>
      <w:bookmarkEnd w:id="21"/>
    </w:p>
    <w:p w14:paraId="72D82229">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eastAsia="仿宋_GB2312" w:cs="Times New Roman"/>
          <w:color w:val="auto"/>
          <w:kern w:val="2"/>
          <w:sz w:val="32"/>
          <w:szCs w:val="32"/>
          <w:highlight w:val="none"/>
          <w:u w:val="none"/>
          <w:lang w:val="en-US" w:eastAsia="zh-CN" w:bidi="ar-SA"/>
        </w:rPr>
        <w:t>242.83万元</w:t>
      </w:r>
      <w:r>
        <w:rPr>
          <w:rFonts w:hint="eastAsia" w:ascii="Times New Roman" w:hAnsi="Times New Roman" w:eastAsia="仿宋_GB2312" w:cs="仿宋_GB2312"/>
          <w:color w:val="auto"/>
          <w:sz w:val="32"/>
          <w:szCs w:val="32"/>
          <w:highlight w:val="none"/>
        </w:rPr>
        <w:t>。</w:t>
      </w:r>
      <w:r>
        <w:rPr>
          <w:rFonts w:hint="eastAsia" w:ascii="仿宋_GB2312" w:eastAsia="仿宋_GB2312" w:cs="仿宋"/>
          <w:color w:val="auto"/>
          <w:sz w:val="32"/>
          <w:szCs w:val="32"/>
          <w:u w:val="none"/>
          <w:lang w:val="en-US" w:eastAsia="zh-CN" w:bidi="ar-SA"/>
        </w:rPr>
        <w:t>本年度开始独立预算，无上年数据。</w:t>
      </w:r>
    </w:p>
    <w:p w14:paraId="3173EAF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K" w:cs="仿宋_GB2312"/>
          <w:color w:val="auto"/>
          <w:sz w:val="32"/>
          <w:szCs w:val="32"/>
          <w:highlight w:val="none"/>
          <w:lang w:eastAsia="zh-CN"/>
        </w:rPr>
      </w:pPr>
      <w:r>
        <w:rPr>
          <w:rFonts w:hint="eastAsia" w:ascii="Times New Roman" w:hAnsi="Times New Roman" w:eastAsia="方正仿宋_GBK" w:cs="仿宋_GB2312"/>
          <w:color w:val="auto"/>
          <w:sz w:val="32"/>
          <w:szCs w:val="32"/>
          <w:highlight w:val="none"/>
          <w:lang w:eastAsia="zh-CN"/>
        </w:rPr>
        <w:drawing>
          <wp:inline distT="0" distB="0" distL="114300" distR="114300">
            <wp:extent cx="5256530" cy="2988310"/>
            <wp:effectExtent l="5080" t="4445" r="15240" b="1714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F5C626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方正仿宋_GBK" w:cs="仿宋_GB2312"/>
          <w:color w:val="auto"/>
          <w:sz w:val="28"/>
          <w:szCs w:val="28"/>
          <w:highlight w:val="none"/>
        </w:rPr>
      </w:pPr>
      <w:r>
        <w:rPr>
          <w:rFonts w:hint="eastAsia" w:ascii="Times New Roman" w:hAnsi="Times New Roman" w:eastAsia="方正仿宋_GBK" w:cs="仿宋_GB2312"/>
          <w:color w:val="auto"/>
          <w:sz w:val="28"/>
          <w:szCs w:val="28"/>
          <w:highlight w:val="none"/>
        </w:rPr>
        <w:t>（图1：</w:t>
      </w:r>
      <w:r>
        <w:rPr>
          <w:rFonts w:hint="eastAsia" w:ascii="Times New Roman" w:hAnsi="Times New Roman" w:eastAsia="方正仿宋_GBK" w:cs="仿宋_GB2312"/>
          <w:color w:val="auto"/>
          <w:sz w:val="28"/>
          <w:szCs w:val="28"/>
          <w:highlight w:val="none"/>
          <w:lang w:eastAsia="zh-CN"/>
        </w:rPr>
        <w:t>收入</w:t>
      </w:r>
      <w:r>
        <w:rPr>
          <w:rFonts w:hint="eastAsia" w:ascii="Times New Roman" w:hAnsi="Times New Roman" w:eastAsia="方正仿宋_GBK" w:cs="仿宋_GB2312"/>
          <w:color w:val="auto"/>
          <w:sz w:val="28"/>
          <w:szCs w:val="28"/>
          <w:highlight w:val="none"/>
        </w:rPr>
        <w:t>、</w:t>
      </w:r>
      <w:r>
        <w:rPr>
          <w:rFonts w:hint="eastAsia" w:ascii="Times New Roman" w:hAnsi="Times New Roman" w:eastAsia="方正仿宋_GBK" w:cs="仿宋_GB2312"/>
          <w:color w:val="auto"/>
          <w:sz w:val="28"/>
          <w:szCs w:val="28"/>
          <w:highlight w:val="none"/>
          <w:lang w:eastAsia="zh-CN"/>
        </w:rPr>
        <w:t>支出</w:t>
      </w:r>
      <w:r>
        <w:rPr>
          <w:rFonts w:hint="eastAsia" w:ascii="Times New Roman" w:hAnsi="Times New Roman" w:eastAsia="方正仿宋_GBK" w:cs="仿宋_GB2312"/>
          <w:color w:val="auto"/>
          <w:sz w:val="28"/>
          <w:szCs w:val="28"/>
          <w:highlight w:val="none"/>
        </w:rPr>
        <w:t>决算总计变动情况图）（柱状图）</w:t>
      </w:r>
    </w:p>
    <w:p w14:paraId="1C1E531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K" w:cs="仿宋_GB2312"/>
          <w:color w:val="auto"/>
          <w:sz w:val="32"/>
          <w:szCs w:val="32"/>
          <w:highlight w:val="none"/>
          <w:lang w:eastAsia="zh-CN"/>
        </w:rPr>
      </w:pPr>
    </w:p>
    <w:p w14:paraId="20A8BCCB">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黑体"/>
          <w:color w:val="auto"/>
          <w:sz w:val="32"/>
          <w:szCs w:val="32"/>
          <w:highlight w:val="none"/>
          <w:lang w:eastAsia="zh-CN"/>
        </w:rPr>
      </w:pPr>
      <w:bookmarkStart w:id="22" w:name="_Toc15396604"/>
      <w:bookmarkStart w:id="23" w:name="_Toc15377206"/>
      <w:r>
        <w:rPr>
          <w:rFonts w:hint="eastAsia" w:ascii="Times New Roman" w:hAnsi="Times New Roman" w:eastAsia="黑体"/>
          <w:color w:val="auto"/>
          <w:sz w:val="32"/>
          <w:szCs w:val="32"/>
          <w:highlight w:val="none"/>
          <w:lang w:eastAsia="zh-CN"/>
        </w:rPr>
        <w:t>二、收入决算情况说明</w:t>
      </w:r>
      <w:bookmarkEnd w:id="22"/>
      <w:bookmarkEnd w:id="23"/>
    </w:p>
    <w:p w14:paraId="3F68889D">
      <w:pPr>
        <w:keepNext w:val="0"/>
        <w:keepLines w:val="0"/>
        <w:pageBreakBefore w:val="0"/>
        <w:widowControl w:val="0"/>
        <w:kinsoku/>
        <w:wordWrap/>
        <w:overflowPunct/>
        <w:topLinePunct w:val="0"/>
        <w:autoSpaceDE/>
        <w:autoSpaceDN/>
        <w:bidi w:val="0"/>
        <w:adjustRightInd/>
        <w:snapToGrid w:val="0"/>
        <w:spacing w:line="240" w:lineRule="auto"/>
        <w:ind w:firstLine="640" w:firstLineChars="200"/>
        <w:textAlignment w:val="auto"/>
        <w:rPr>
          <w:rFonts w:hint="eastAsia" w:ascii="仿宋_GB2312" w:eastAsia="仿宋_GB2312"/>
          <w:color w:val="auto"/>
          <w:sz w:val="32"/>
          <w:szCs w:val="32"/>
          <w:highlight w:val="none"/>
          <w:u w:val="none"/>
          <w:lang w:val="en-US" w:eastAsia="zh-CN"/>
        </w:rPr>
      </w:pPr>
      <w:r>
        <w:rPr>
          <w:rFonts w:hint="eastAsia" w:ascii="仿宋_GB2312" w:eastAsia="仿宋_GB2312"/>
          <w:color w:val="auto"/>
          <w:sz w:val="32"/>
          <w:szCs w:val="32"/>
          <w:highlight w:val="none"/>
          <w:u w:val="none"/>
          <w:lang w:val="en-US" w:eastAsia="zh-CN"/>
        </w:rPr>
        <w:t>2025年本年收入合计242.83万元，其中一般公共预算收入242.83万元。</w:t>
      </w:r>
      <w:r>
        <w:rPr>
          <w:rFonts w:hint="eastAsia" w:ascii="仿宋_GB2312" w:eastAsia="仿宋_GB2312" w:cs="Times New Roman"/>
          <w:color w:val="auto"/>
          <w:sz w:val="32"/>
          <w:szCs w:val="32"/>
          <w:highlight w:val="none"/>
          <w:u w:val="none"/>
          <w:lang w:val="en-US" w:eastAsia="zh-CN" w:bidi="ar-SA"/>
        </w:rPr>
        <w:t>本年度开始独立预算，无上年数据。</w:t>
      </w:r>
    </w:p>
    <w:p w14:paraId="796D6DC4">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方正仿宋_GBK" w:cs="仿宋_GB2312"/>
          <w:color w:val="auto"/>
          <w:sz w:val="32"/>
          <w:szCs w:val="32"/>
          <w:highlight w:val="none"/>
          <w:lang w:eastAsia="zh-CN"/>
        </w:rPr>
        <w:drawing>
          <wp:inline distT="0" distB="0" distL="114300" distR="114300">
            <wp:extent cx="5256530" cy="2988310"/>
            <wp:effectExtent l="5080" t="4445" r="1524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3C78D74">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w:t>
      </w:r>
      <w:r>
        <w:rPr>
          <w:rFonts w:hint="eastAsia"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收入</w:t>
      </w:r>
      <w:r>
        <w:rPr>
          <w:rFonts w:hint="eastAsia" w:ascii="Times New Roman" w:hAnsi="Times New Roman" w:eastAsia="仿宋_GB2312" w:cs="仿宋_GB2312"/>
          <w:color w:val="auto"/>
          <w:sz w:val="32"/>
          <w:szCs w:val="32"/>
          <w:highlight w:val="none"/>
          <w:lang w:eastAsia="zh-CN"/>
        </w:rPr>
        <w:t>决算结构图）（饼状图）</w:t>
      </w:r>
    </w:p>
    <w:p w14:paraId="401E4374">
      <w:pPr>
        <w:pageBreakBefore w:val="0"/>
        <w:kinsoku/>
        <w:wordWrap/>
        <w:overflowPunct/>
        <w:topLinePunct w:val="0"/>
        <w:autoSpaceDE/>
        <w:autoSpaceDN/>
        <w:bidi w:val="0"/>
        <w:spacing w:line="240" w:lineRule="auto"/>
        <w:ind w:firstLine="800" w:firstLineChars="250"/>
        <w:textAlignment w:val="auto"/>
        <w:rPr>
          <w:rFonts w:hint="eastAsia" w:ascii="Times New Roman" w:hAnsi="Times New Roman" w:eastAsia="仿宋_GB2312" w:cs="仿宋_GB2312"/>
          <w:color w:val="auto"/>
          <w:sz w:val="32"/>
          <w:szCs w:val="32"/>
          <w:highlight w:val="none"/>
          <w:lang w:eastAsia="zh-CN"/>
        </w:rPr>
      </w:pPr>
    </w:p>
    <w:p w14:paraId="009E5A22">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Style w:val="30"/>
          <w:rFonts w:hint="eastAsia" w:ascii="Times New Roman" w:hAnsi="Times New Roman" w:eastAsia="黑体"/>
          <w:b w:val="0"/>
          <w:color w:val="auto"/>
          <w:highlight w:val="none"/>
        </w:rPr>
      </w:pPr>
      <w:bookmarkStart w:id="24" w:name="_Toc15377207"/>
      <w:bookmarkStart w:id="25"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4"/>
      <w:bookmarkEnd w:id="25"/>
    </w:p>
    <w:p w14:paraId="703FF264">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仿宋_GB2312" w:eastAsia="仿宋_GB2312" w:cs="Times New Roman"/>
          <w:color w:val="auto"/>
          <w:sz w:val="32"/>
          <w:szCs w:val="32"/>
          <w:highlight w:val="none"/>
          <w:u w:val="none"/>
          <w:lang w:val="en-US" w:eastAsia="zh-CN" w:bidi="ar-SA"/>
        </w:rPr>
      </w:pPr>
      <w:r>
        <w:rPr>
          <w:rFonts w:hint="eastAsia" w:ascii="仿宋_GB2312" w:eastAsia="仿宋_GB2312"/>
          <w:color w:val="auto"/>
          <w:sz w:val="32"/>
          <w:szCs w:val="32"/>
          <w:highlight w:val="none"/>
          <w:u w:val="none"/>
          <w:lang w:val="en-US" w:eastAsia="zh-CN"/>
        </w:rPr>
        <w:t>本年支出合计242.83万元，其中基本支出52.88万元</w:t>
      </w:r>
      <w:r>
        <w:rPr>
          <w:rFonts w:hint="eastAsia" w:ascii="仿宋_GB2312" w:eastAsia="仿宋_GB2312" w:cs="Times New Roman"/>
          <w:color w:val="auto"/>
          <w:sz w:val="32"/>
          <w:szCs w:val="32"/>
          <w:highlight w:val="none"/>
          <w:u w:val="none"/>
          <w:lang w:val="en-US" w:eastAsia="zh-CN" w:bidi="ar-SA"/>
        </w:rPr>
        <w:t>，占比21.78%，项目支出189.95万元，占比78.22%。本年度开始独立预算，无上年数据。</w:t>
      </w:r>
    </w:p>
    <w:p w14:paraId="4862B129">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方正仿宋_GBK" w:cs="仿宋_GB2312"/>
          <w:color w:val="auto"/>
          <w:sz w:val="32"/>
          <w:szCs w:val="32"/>
          <w:highlight w:val="none"/>
          <w:lang w:eastAsia="zh-CN"/>
        </w:rPr>
        <w:drawing>
          <wp:inline distT="0" distB="0" distL="114300" distR="114300">
            <wp:extent cx="4307205" cy="2534920"/>
            <wp:effectExtent l="4445" t="5080" r="12700" b="1270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8FF6738">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14487641">
      <w:pPr>
        <w:pageBreakBefore w:val="0"/>
        <w:kinsoku/>
        <w:wordWrap/>
        <w:overflowPunct/>
        <w:topLinePunct w:val="0"/>
        <w:autoSpaceDE/>
        <w:autoSpaceDN/>
        <w:bidi w:val="0"/>
        <w:spacing w:line="240" w:lineRule="auto"/>
        <w:ind w:firstLine="800" w:firstLineChars="250"/>
        <w:textAlignment w:val="auto"/>
        <w:rPr>
          <w:rFonts w:hint="eastAsia" w:ascii="Times New Roman" w:hAnsi="Times New Roman" w:eastAsia="仿宋_GB2312" w:cs="仿宋_GB2312"/>
          <w:color w:val="auto"/>
          <w:sz w:val="32"/>
          <w:szCs w:val="32"/>
          <w:highlight w:val="none"/>
          <w:lang w:eastAsia="zh-CN"/>
        </w:rPr>
      </w:pPr>
    </w:p>
    <w:p w14:paraId="73B4A29C">
      <w:pPr>
        <w:pageBreakBefore w:val="0"/>
        <w:kinsoku/>
        <w:wordWrap/>
        <w:overflowPunct/>
        <w:topLinePunct w:val="0"/>
        <w:autoSpaceDE/>
        <w:autoSpaceDN/>
        <w:bidi w:val="0"/>
        <w:spacing w:line="240" w:lineRule="auto"/>
        <w:ind w:firstLine="640" w:firstLineChars="200"/>
        <w:textAlignment w:val="auto"/>
        <w:outlineLvl w:val="1"/>
        <w:rPr>
          <w:rStyle w:val="30"/>
          <w:rFonts w:ascii="Times New Roman" w:hAnsi="Times New Roman" w:eastAsia="黑体"/>
          <w:b w:val="0"/>
          <w:color w:val="auto"/>
          <w:highlight w:val="none"/>
        </w:rPr>
      </w:pPr>
      <w:bookmarkStart w:id="26" w:name="_Toc15396606"/>
      <w:bookmarkStart w:id="27"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6"/>
      <w:bookmarkEnd w:id="27"/>
    </w:p>
    <w:p w14:paraId="035CB209">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eastAsia="仿宋_GB2312" w:cs="仿宋_GB2312"/>
          <w:color w:val="auto"/>
          <w:kern w:val="2"/>
          <w:sz w:val="32"/>
          <w:szCs w:val="32"/>
          <w:u w:val="none"/>
          <w:lang w:val="en-US" w:eastAsia="zh-CN" w:bidi="ar"/>
        </w:rPr>
        <w:t>242.83万元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s="Times New Roman"/>
          <w:color w:val="auto"/>
          <w:sz w:val="32"/>
          <w:szCs w:val="32"/>
          <w:highlight w:val="none"/>
          <w:u w:val="none"/>
          <w:lang w:val="en-US" w:eastAsia="zh-CN" w:bidi="ar-SA"/>
        </w:rPr>
        <w:t>本年度开始独立预算，无上年数据。</w:t>
      </w:r>
    </w:p>
    <w:p w14:paraId="66448A7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drawing>
          <wp:inline distT="0" distB="0" distL="114300" distR="114300">
            <wp:extent cx="4401820" cy="2320290"/>
            <wp:effectExtent l="4445" t="4445" r="13335" b="1841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CFFF52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66EAED81">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176A392D">
      <w:pPr>
        <w:pageBreakBefore w:val="0"/>
        <w:kinsoku/>
        <w:wordWrap/>
        <w:overflowPunct/>
        <w:topLinePunct w:val="0"/>
        <w:autoSpaceDE/>
        <w:autoSpaceDN/>
        <w:bidi w:val="0"/>
        <w:spacing w:line="240" w:lineRule="auto"/>
        <w:ind w:firstLine="640" w:firstLineChars="200"/>
        <w:textAlignment w:val="auto"/>
        <w:outlineLvl w:val="1"/>
        <w:rPr>
          <w:rStyle w:val="30"/>
          <w:rFonts w:ascii="Times New Roman" w:hAnsi="Times New Roman" w:eastAsia="黑体"/>
          <w:b w:val="0"/>
          <w:color w:val="auto"/>
          <w:highlight w:val="none"/>
        </w:rPr>
      </w:pPr>
      <w:bookmarkStart w:id="28" w:name="_Toc15377209"/>
      <w:bookmarkStart w:id="29"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8"/>
      <w:bookmarkEnd w:id="29"/>
    </w:p>
    <w:p w14:paraId="592B5C6E">
      <w:pPr>
        <w:pageBreakBefore w:val="0"/>
        <w:kinsoku/>
        <w:wordWrap/>
        <w:overflowPunct/>
        <w:topLinePunct w:val="0"/>
        <w:autoSpaceDE/>
        <w:autoSpaceDN/>
        <w:bidi w:val="0"/>
        <w:spacing w:line="24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0"/>
    </w:p>
    <w:p w14:paraId="7D5AD4E7">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eastAsia="仿宋_GB2312" w:cs="仿宋_GB2312"/>
          <w:color w:val="auto"/>
          <w:kern w:val="2"/>
          <w:sz w:val="32"/>
          <w:szCs w:val="32"/>
          <w:u w:val="none"/>
          <w:lang w:val="en-US" w:eastAsia="zh-CN" w:bidi="ar"/>
        </w:rPr>
        <w:t>242.83</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s="Times New Roman"/>
          <w:color w:val="auto"/>
          <w:sz w:val="32"/>
          <w:szCs w:val="32"/>
          <w:highlight w:val="none"/>
          <w:u w:val="none"/>
          <w:lang w:val="en-US" w:eastAsia="zh-CN" w:bidi="ar-SA"/>
        </w:rPr>
        <w:t>本年度开始独立预算，无上年数据。</w:t>
      </w:r>
    </w:p>
    <w:p w14:paraId="635B4E3E">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方正仿宋_GBK" w:cs="仿宋_GB2312"/>
          <w:kern w:val="2"/>
          <w:sz w:val="32"/>
          <w:szCs w:val="32"/>
          <w:lang w:val="en-US" w:eastAsia="zh-CN" w:bidi="ar"/>
        </w:rPr>
        <w:drawing>
          <wp:inline distT="0" distB="0" distL="114300" distR="114300">
            <wp:extent cx="5256530" cy="2988310"/>
            <wp:effectExtent l="5080" t="4445" r="15240" b="1714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FF5E953">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20389217">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28153A66">
      <w:pPr>
        <w:pageBreakBefore w:val="0"/>
        <w:kinsoku/>
        <w:wordWrap/>
        <w:overflowPunct/>
        <w:topLinePunct w:val="0"/>
        <w:autoSpaceDE/>
        <w:autoSpaceDN/>
        <w:bidi w:val="0"/>
        <w:spacing w:line="24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1"/>
    </w:p>
    <w:p w14:paraId="2D8A9403">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eastAsia="仿宋_GB2312" w:cs="仿宋_GB2312"/>
          <w:color w:val="auto"/>
          <w:kern w:val="2"/>
          <w:sz w:val="32"/>
          <w:szCs w:val="32"/>
          <w:u w:val="none"/>
          <w:lang w:val="en-US" w:eastAsia="zh-CN" w:bidi="ar"/>
        </w:rPr>
        <w:t>242.83</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ascii="仿宋_GB2312" w:eastAsia="仿宋_GB2312" w:cs="仿宋_GB2312"/>
          <w:color w:val="auto"/>
          <w:kern w:val="2"/>
          <w:sz w:val="32"/>
          <w:szCs w:val="32"/>
          <w:u w:val="none"/>
          <w:lang w:val="en-US" w:eastAsia="zh-CN" w:bidi="ar"/>
        </w:rPr>
        <w:t>242.83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1D7EB2D">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outlineLvl w:val="9"/>
        <w:rPr>
          <w:rFonts w:hint="eastAsia" w:ascii="Times New Roman" w:hAnsi="Times New Roman" w:eastAsia="方正仿宋_GBK" w:cs="仿宋_GB2312"/>
          <w:color w:val="auto"/>
          <w:sz w:val="32"/>
          <w:szCs w:val="32"/>
          <w:highlight w:val="none"/>
          <w:lang w:val="en-US" w:eastAsia="zh-CN"/>
        </w:rPr>
      </w:pPr>
    </w:p>
    <w:p w14:paraId="355F6125">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方正仿宋_GBK" w:cs="Times New Roman"/>
          <w:kern w:val="2"/>
          <w:sz w:val="32"/>
          <w:szCs w:val="32"/>
          <w:lang w:val="en-US" w:eastAsia="zh-CN" w:bidi="ar"/>
        </w:rPr>
        <w:drawing>
          <wp:inline distT="0" distB="0" distL="114300" distR="114300">
            <wp:extent cx="5256530" cy="2988310"/>
            <wp:effectExtent l="5080" t="4445" r="15240" b="1714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47A23EE">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3EE37B4A">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3E5CF747">
      <w:pPr>
        <w:pageBreakBefore w:val="0"/>
        <w:kinsoku/>
        <w:wordWrap/>
        <w:overflowPunct/>
        <w:topLinePunct w:val="0"/>
        <w:autoSpaceDE/>
        <w:autoSpaceDN/>
        <w:bidi w:val="0"/>
        <w:spacing w:line="24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2"/>
    </w:p>
    <w:p w14:paraId="5C1CBFD8">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bookmarkStart w:id="33" w:name="_Toc15377444"/>
      <w:bookmarkStart w:id="34" w:name="_Toc15377213"/>
      <w:bookmarkStart w:id="35"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242.83</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3"/>
      <w:bookmarkEnd w:id="34"/>
      <w:bookmarkEnd w:id="35"/>
    </w:p>
    <w:p w14:paraId="3D35F366">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宣传事务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行政运行</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20.94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F7ED9BC">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2.一般公共服务（类）</w:t>
      </w:r>
      <w:r>
        <w:rPr>
          <w:rFonts w:hint="eastAsia" w:eastAsia="仿宋_GB2312" w:cs="仿宋_GB2312"/>
          <w:color w:val="auto"/>
          <w:kern w:val="2"/>
          <w:sz w:val="32"/>
          <w:szCs w:val="32"/>
          <w:highlight w:val="none"/>
          <w:lang w:val="en-US" w:eastAsia="zh-CN" w:bidi="ar-SA"/>
        </w:rPr>
        <w:t>宣传事务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事业运行</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30.13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93D9730">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3.一般公共服务（类）</w:t>
      </w:r>
      <w:r>
        <w:rPr>
          <w:rFonts w:hint="eastAsia" w:eastAsia="仿宋_GB2312" w:cs="仿宋_GB2312"/>
          <w:color w:val="auto"/>
          <w:kern w:val="2"/>
          <w:sz w:val="32"/>
          <w:szCs w:val="32"/>
          <w:highlight w:val="none"/>
          <w:lang w:val="en-US" w:eastAsia="zh-CN" w:bidi="ar-SA"/>
        </w:rPr>
        <w:t>宣传事务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其他宣传事务支出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37.19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B35464C">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4.一般公共服务（类）</w:t>
      </w:r>
      <w:r>
        <w:rPr>
          <w:rFonts w:hint="eastAsia" w:eastAsia="仿宋_GB2312" w:cs="仿宋_GB2312"/>
          <w:color w:val="auto"/>
          <w:kern w:val="2"/>
          <w:sz w:val="32"/>
          <w:szCs w:val="32"/>
          <w:highlight w:val="none"/>
          <w:lang w:val="en-US" w:eastAsia="zh-CN" w:bidi="ar-SA"/>
        </w:rPr>
        <w:t>网信事务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行政运行</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1.81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F623993">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5.一般公共服务（类）</w:t>
      </w:r>
      <w:r>
        <w:rPr>
          <w:rFonts w:hint="eastAsia" w:eastAsia="仿宋_GB2312" w:cs="仿宋_GB2312"/>
          <w:color w:val="auto"/>
          <w:kern w:val="2"/>
          <w:sz w:val="32"/>
          <w:szCs w:val="32"/>
          <w:highlight w:val="none"/>
          <w:lang w:val="en-US" w:eastAsia="zh-CN" w:bidi="ar-SA"/>
        </w:rPr>
        <w:t>网信事务</w:t>
      </w:r>
      <w:r>
        <w:rPr>
          <w:rFonts w:hint="eastAsia" w:ascii="Times New Roman" w:hAnsi="Times New Roman" w:eastAsia="仿宋_GB2312" w:cs="仿宋_GB2312"/>
          <w:color w:val="auto"/>
          <w:kern w:val="2"/>
          <w:sz w:val="32"/>
          <w:szCs w:val="32"/>
          <w:highlight w:val="none"/>
          <w:lang w:val="en-US" w:eastAsia="zh-CN" w:bidi="ar-SA"/>
        </w:rPr>
        <w:t>（款）一般行政管理事务（项）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152.76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3362398">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23394C50">
      <w:pPr>
        <w:pageBreakBefore w:val="0"/>
        <w:tabs>
          <w:tab w:val="right" w:pos="8306"/>
        </w:tabs>
        <w:kinsoku/>
        <w:wordWrap/>
        <w:overflowPunct/>
        <w:topLinePunct w:val="0"/>
        <w:autoSpaceDE/>
        <w:autoSpaceDN/>
        <w:bidi w:val="0"/>
        <w:spacing w:line="240" w:lineRule="auto"/>
        <w:ind w:firstLine="640"/>
        <w:textAlignment w:val="auto"/>
        <w:outlineLvl w:val="1"/>
        <w:rPr>
          <w:rStyle w:val="30"/>
          <w:rFonts w:ascii="Times New Roman" w:hAnsi="Times New Roman"/>
          <w:color w:val="auto"/>
          <w:highlight w:val="none"/>
        </w:rPr>
      </w:pPr>
      <w:bookmarkStart w:id="36" w:name="_Toc15396608"/>
      <w:bookmarkStart w:id="37"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6"/>
      <w:bookmarkEnd w:id="37"/>
      <w:r>
        <w:rPr>
          <w:rStyle w:val="30"/>
          <w:rFonts w:ascii="Times New Roman" w:hAnsi="Times New Roman" w:eastAsia="黑体"/>
          <w:b w:val="0"/>
          <w:color w:val="auto"/>
          <w:highlight w:val="none"/>
        </w:rPr>
        <w:tab/>
      </w:r>
    </w:p>
    <w:p w14:paraId="0086AFAA">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52.87</w:t>
      </w:r>
      <w:r>
        <w:rPr>
          <w:rFonts w:hint="eastAsia" w:ascii="Times New Roman" w:hAnsi="Times New Roman" w:eastAsia="仿宋_GB2312" w:cs="仿宋_GB2312"/>
          <w:color w:val="auto"/>
          <w:kern w:val="2"/>
          <w:sz w:val="32"/>
          <w:szCs w:val="32"/>
          <w:highlight w:val="none"/>
          <w:lang w:val="en-US" w:eastAsia="zh-CN" w:bidi="ar-SA"/>
        </w:rPr>
        <w:t>万元，其中：</w:t>
      </w:r>
    </w:p>
    <w:p w14:paraId="26825EA6">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52.87</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63C2434B">
      <w:pPr>
        <w:pageBreakBefore w:val="0"/>
        <w:kinsoku/>
        <w:wordWrap/>
        <w:overflowPunct/>
        <w:topLinePunct w:val="0"/>
        <w:autoSpaceDE/>
        <w:autoSpaceDN/>
        <w:bidi w:val="0"/>
        <w:spacing w:line="240" w:lineRule="auto"/>
        <w:ind w:firstLine="640"/>
        <w:textAlignment w:val="auto"/>
        <w:outlineLvl w:val="1"/>
        <w:rPr>
          <w:rStyle w:val="30"/>
          <w:rFonts w:ascii="Times New Roman" w:hAnsi="Times New Roman" w:eastAsia="黑体"/>
          <w:b w:val="0"/>
          <w:color w:val="auto"/>
          <w:highlight w:val="none"/>
        </w:rPr>
      </w:pPr>
      <w:bookmarkStart w:id="38" w:name="_Toc15396609"/>
      <w:bookmarkStart w:id="39"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8"/>
      <w:bookmarkEnd w:id="39"/>
    </w:p>
    <w:p w14:paraId="10E03695">
      <w:pPr>
        <w:pageBreakBefore w:val="0"/>
        <w:kinsoku/>
        <w:wordWrap/>
        <w:overflowPunct/>
        <w:topLinePunct w:val="0"/>
        <w:autoSpaceDE/>
        <w:autoSpaceDN/>
        <w:bidi w:val="0"/>
        <w:spacing w:line="24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0"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0"/>
    </w:p>
    <w:p w14:paraId="529280AD">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0.23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s="Times New Roman"/>
          <w:color w:val="auto"/>
          <w:sz w:val="32"/>
          <w:szCs w:val="32"/>
          <w:highlight w:val="none"/>
          <w:u w:val="none"/>
          <w:lang w:val="en-US" w:eastAsia="zh-CN" w:bidi="ar-SA"/>
        </w:rPr>
        <w:t>本年度开始独立预算，无上年数据。</w:t>
      </w:r>
    </w:p>
    <w:p w14:paraId="7867E7CB">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b/>
          <w:bCs/>
          <w:color w:val="auto"/>
          <w:kern w:val="2"/>
          <w:sz w:val="32"/>
          <w:szCs w:val="32"/>
          <w:highlight w:val="none"/>
          <w:lang w:val="en-US" w:eastAsia="zh-CN" w:bidi="ar-SA"/>
        </w:rPr>
      </w:pPr>
    </w:p>
    <w:p w14:paraId="1CF94EAD">
      <w:pPr>
        <w:pageBreakBefore w:val="0"/>
        <w:kinsoku/>
        <w:wordWrap/>
        <w:overflowPunct/>
        <w:topLinePunct w:val="0"/>
        <w:autoSpaceDE/>
        <w:autoSpaceDN/>
        <w:bidi w:val="0"/>
        <w:spacing w:line="24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1"/>
    </w:p>
    <w:p w14:paraId="341952A1">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万元；公务用车购置及运行维护费支出决算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万元；公务接待费支出决算</w:t>
      </w:r>
      <w:r>
        <w:rPr>
          <w:rFonts w:hint="eastAsia" w:eastAsia="仿宋_GB2312" w:cs="仿宋_GB2312"/>
          <w:color w:val="auto"/>
          <w:kern w:val="2"/>
          <w:sz w:val="32"/>
          <w:szCs w:val="32"/>
          <w:highlight w:val="none"/>
          <w:lang w:val="en-US" w:eastAsia="zh-CN" w:bidi="ar-SA"/>
        </w:rPr>
        <w:t>0.23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%。具体情况如下：</w:t>
      </w:r>
    </w:p>
    <w:p w14:paraId="495CA943">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B55B19A">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085C752D">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w:t>
      </w:r>
    </w:p>
    <w:p w14:paraId="31B7C626">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5C3745FB">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4A02EA57">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0.23</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仿宋_GB2312" w:eastAsia="仿宋_GB2312" w:cs="Times New Roman"/>
          <w:color w:val="auto"/>
          <w:sz w:val="32"/>
          <w:szCs w:val="32"/>
          <w:highlight w:val="none"/>
          <w:u w:val="none"/>
          <w:lang w:val="en-US" w:eastAsia="zh-CN" w:bidi="ar-SA"/>
        </w:rPr>
        <w:t>本年度开始独立预算，无上年数据。</w:t>
      </w:r>
      <w:r>
        <w:rPr>
          <w:rFonts w:hint="eastAsia" w:ascii="Times New Roman" w:hAnsi="Times New Roman" w:eastAsia="仿宋_GB2312" w:cs="仿宋_GB2312"/>
          <w:color w:val="auto"/>
          <w:kern w:val="2"/>
          <w:sz w:val="32"/>
          <w:szCs w:val="32"/>
          <w:highlight w:val="none"/>
          <w:lang w:val="en-US" w:eastAsia="zh-CN" w:bidi="ar-SA"/>
        </w:rPr>
        <w:t>其中：</w:t>
      </w:r>
    </w:p>
    <w:p w14:paraId="7918C98E">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0.23</w:t>
      </w:r>
      <w:r>
        <w:rPr>
          <w:rFonts w:hint="eastAsia" w:ascii="Times New Roman" w:hAnsi="Times New Roman" w:eastAsia="仿宋_GB2312" w:cs="仿宋_GB2312"/>
          <w:color w:val="auto"/>
          <w:kern w:val="2"/>
          <w:sz w:val="32"/>
          <w:szCs w:val="32"/>
          <w:highlight w:val="none"/>
          <w:lang w:val="en-US" w:eastAsia="zh-CN" w:bidi="ar-SA"/>
        </w:rPr>
        <w:t>万元，主要用于执行公务、开展业务活动开支的交通费、住宿费、用餐费等。国内公务接待</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0.23</w:t>
      </w:r>
      <w:r>
        <w:rPr>
          <w:rFonts w:hint="eastAsia" w:ascii="Times New Roman" w:hAnsi="Times New Roman" w:eastAsia="仿宋_GB2312" w:cs="仿宋_GB2312"/>
          <w:color w:val="auto"/>
          <w:kern w:val="2"/>
          <w:sz w:val="32"/>
          <w:szCs w:val="32"/>
          <w:highlight w:val="none"/>
          <w:lang w:val="en-US" w:eastAsia="zh-CN" w:bidi="ar-SA"/>
        </w:rPr>
        <w:t>万元。</w:t>
      </w:r>
    </w:p>
    <w:p w14:paraId="27FACCFC">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14911C9E">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bookmarkStart w:id="42" w:name="_Toc15396610"/>
      <w:bookmarkStart w:id="43" w:name="_Toc15377218"/>
    </w:p>
    <w:p w14:paraId="4BAD6CEA">
      <w:pPr>
        <w:pageBreakBefore w:val="0"/>
        <w:kinsoku/>
        <w:wordWrap/>
        <w:overflowPunct/>
        <w:topLinePunct w:val="0"/>
        <w:autoSpaceDE/>
        <w:autoSpaceDN/>
        <w:bidi w:val="0"/>
        <w:spacing w:line="240" w:lineRule="auto"/>
        <w:ind w:firstLine="640"/>
        <w:textAlignment w:val="auto"/>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2"/>
      <w:bookmarkEnd w:id="43"/>
    </w:p>
    <w:p w14:paraId="7F15C6F7">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w:t>
      </w:r>
    </w:p>
    <w:p w14:paraId="53FF5DA3">
      <w:pPr>
        <w:pageBreakBefore w:val="0"/>
        <w:numPr>
          <w:ilvl w:val="0"/>
          <w:numId w:val="0"/>
        </w:numPr>
        <w:kinsoku/>
        <w:wordWrap/>
        <w:overflowPunct/>
        <w:topLinePunct w:val="0"/>
        <w:autoSpaceDE/>
        <w:autoSpaceDN/>
        <w:bidi w:val="0"/>
        <w:spacing w:line="240" w:lineRule="auto"/>
        <w:ind w:left="630" w:leftChars="0"/>
        <w:textAlignment w:val="auto"/>
        <w:outlineLvl w:val="1"/>
        <w:rPr>
          <w:rStyle w:val="30"/>
          <w:rFonts w:ascii="Times New Roman" w:hAnsi="Times New Roman" w:eastAsia="黑体"/>
          <w:b w:val="0"/>
          <w:color w:val="auto"/>
          <w:highlight w:val="none"/>
        </w:rPr>
      </w:pPr>
      <w:bookmarkStart w:id="44" w:name="_Toc15396611"/>
      <w:bookmarkStart w:id="45"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4"/>
      <w:bookmarkEnd w:id="45"/>
    </w:p>
    <w:p w14:paraId="775BB174">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63AE077E">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12707A9D">
      <w:pPr>
        <w:pageBreakBefore w:val="0"/>
        <w:numPr>
          <w:ilvl w:val="0"/>
          <w:numId w:val="0"/>
        </w:numPr>
        <w:kinsoku/>
        <w:wordWrap/>
        <w:overflowPunct/>
        <w:topLinePunct w:val="0"/>
        <w:autoSpaceDE/>
        <w:autoSpaceDN/>
        <w:bidi w:val="0"/>
        <w:spacing w:line="240" w:lineRule="auto"/>
        <w:ind w:left="630" w:leftChars="0"/>
        <w:textAlignment w:val="auto"/>
        <w:outlineLvl w:val="1"/>
        <w:rPr>
          <w:rStyle w:val="30"/>
          <w:rFonts w:hint="eastAsia" w:ascii="Times New Roman" w:hAnsi="Times New Roman" w:eastAsia="黑体"/>
          <w:b w:val="0"/>
          <w:color w:val="auto"/>
          <w:highlight w:val="none"/>
        </w:rPr>
      </w:pPr>
      <w:bookmarkStart w:id="46" w:name="_Toc15396612"/>
      <w:bookmarkStart w:id="47"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6"/>
      <w:bookmarkEnd w:id="47"/>
    </w:p>
    <w:p w14:paraId="08ADCC69">
      <w:pPr>
        <w:pageBreakBefore w:val="0"/>
        <w:kinsoku/>
        <w:wordWrap/>
        <w:overflowPunct/>
        <w:topLinePunct w:val="0"/>
        <w:autoSpaceDE/>
        <w:autoSpaceDN/>
        <w:bidi w:val="0"/>
        <w:spacing w:line="24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8" w:name="_Toc15377222"/>
      <w:r>
        <w:rPr>
          <w:rFonts w:hint="eastAsia" w:ascii="Times New Roman" w:hAnsi="Times New Roman" w:eastAsia="楷体_GB2312" w:cs="楷体_GB2312"/>
          <w:b/>
          <w:color w:val="auto"/>
          <w:sz w:val="32"/>
          <w:szCs w:val="32"/>
          <w:highlight w:val="none"/>
        </w:rPr>
        <w:t>（一）机关运行经费支出情况</w:t>
      </w:r>
      <w:bookmarkEnd w:id="48"/>
    </w:p>
    <w:p w14:paraId="695ACE0B">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中共巴中市委网络安全和信息化委员会办公室</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52.88</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eastAsia="仿宋_GB2312" w:cs="Times New Roman"/>
          <w:color w:val="auto"/>
          <w:sz w:val="32"/>
          <w:szCs w:val="32"/>
          <w:highlight w:val="none"/>
          <w:u w:val="none"/>
          <w:lang w:val="en-US" w:eastAsia="zh-CN" w:bidi="ar-SA"/>
        </w:rPr>
        <w:t>本年度开始独立预算，无上年数据。</w:t>
      </w:r>
    </w:p>
    <w:p w14:paraId="66F52F3D">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6F24AE49">
      <w:pPr>
        <w:pageBreakBefore w:val="0"/>
        <w:kinsoku/>
        <w:wordWrap/>
        <w:overflowPunct/>
        <w:topLinePunct w:val="0"/>
        <w:autoSpaceDE/>
        <w:autoSpaceDN/>
        <w:bidi w:val="0"/>
        <w:spacing w:line="24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9" w:name="_Toc15377223"/>
      <w:r>
        <w:rPr>
          <w:rFonts w:hint="eastAsia" w:ascii="Times New Roman" w:hAnsi="Times New Roman" w:eastAsia="楷体_GB2312" w:cs="楷体_GB2312"/>
          <w:b/>
          <w:color w:val="auto"/>
          <w:sz w:val="32"/>
          <w:szCs w:val="32"/>
          <w:highlight w:val="none"/>
        </w:rPr>
        <w:t>（二）政府采购支出情况</w:t>
      </w:r>
      <w:bookmarkEnd w:id="49"/>
    </w:p>
    <w:p w14:paraId="013D4349">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中共巴中市委网络安全和信息化委员会办公室</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2FB7FBBF">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202FC81E">
      <w:pPr>
        <w:pageBreakBefore w:val="0"/>
        <w:kinsoku/>
        <w:wordWrap/>
        <w:overflowPunct/>
        <w:topLinePunct w:val="0"/>
        <w:autoSpaceDE/>
        <w:autoSpaceDN/>
        <w:bidi w:val="0"/>
        <w:spacing w:line="24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50" w:name="_Toc15377224"/>
      <w:r>
        <w:rPr>
          <w:rFonts w:hint="eastAsia" w:ascii="Times New Roman" w:hAnsi="Times New Roman" w:eastAsia="楷体_GB2312" w:cs="楷体_GB2312"/>
          <w:b/>
          <w:color w:val="auto"/>
          <w:sz w:val="32"/>
          <w:szCs w:val="32"/>
          <w:highlight w:val="none"/>
        </w:rPr>
        <w:t>（三）国有资产占有使用情况</w:t>
      </w:r>
      <w:bookmarkEnd w:id="50"/>
    </w:p>
    <w:p w14:paraId="7E98ACFF">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中共巴中市委网络安全和信息化委员会办公室</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7C5254C3">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330D5333">
      <w:pPr>
        <w:pageBreakBefore w:val="0"/>
        <w:kinsoku/>
        <w:wordWrap/>
        <w:overflowPunct/>
        <w:topLinePunct w:val="0"/>
        <w:autoSpaceDE/>
        <w:autoSpaceDN/>
        <w:bidi w:val="0"/>
        <w:spacing w:line="24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5B19ACAB">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中共巴中市委网络安全和信息化委员会办公室在2025年度预算编制阶段，组织对相关项目开展了预算事前绩效评估，并编制了绩效目标，预算执行过程中，对所有项目开展绩效监控。组织对2025年度一般公共预算全面开展绩效自评，因内容涉密不公开。</w:t>
      </w:r>
    </w:p>
    <w:p w14:paraId="79DB2007">
      <w:pPr>
        <w:pStyle w:val="2"/>
        <w:rPr>
          <w:rFonts w:hint="eastAsia" w:ascii="Times New Roman" w:hAnsi="Times New Roman" w:eastAsia="仿宋_GB2312" w:cs="仿宋_GB2312"/>
          <w:color w:val="auto"/>
          <w:kern w:val="2"/>
          <w:sz w:val="32"/>
          <w:szCs w:val="32"/>
          <w:highlight w:val="none"/>
          <w:lang w:val="en-US" w:eastAsia="zh-CN" w:bidi="ar-SA"/>
        </w:rPr>
      </w:pPr>
    </w:p>
    <w:p w14:paraId="004B9E54">
      <w:pPr>
        <w:pStyle w:val="2"/>
        <w:rPr>
          <w:rFonts w:hint="eastAsia" w:ascii="Times New Roman" w:hAnsi="Times New Roman" w:eastAsia="仿宋_GB2312" w:cs="仿宋_GB2312"/>
          <w:color w:val="auto"/>
          <w:kern w:val="2"/>
          <w:sz w:val="32"/>
          <w:szCs w:val="32"/>
          <w:highlight w:val="none"/>
          <w:lang w:val="en-US" w:eastAsia="zh-CN" w:bidi="ar-SA"/>
        </w:rPr>
      </w:pPr>
    </w:p>
    <w:p w14:paraId="03BEC03E">
      <w:pPr>
        <w:pStyle w:val="2"/>
        <w:rPr>
          <w:rFonts w:hint="eastAsia" w:ascii="Times New Roman" w:hAnsi="Times New Roman" w:eastAsia="仿宋_GB2312" w:cs="仿宋_GB2312"/>
          <w:color w:val="auto"/>
          <w:kern w:val="2"/>
          <w:sz w:val="32"/>
          <w:szCs w:val="32"/>
          <w:highlight w:val="none"/>
          <w:lang w:val="en-US" w:eastAsia="zh-CN" w:bidi="ar-SA"/>
        </w:rPr>
      </w:pPr>
    </w:p>
    <w:p w14:paraId="44C84F1E">
      <w:pPr>
        <w:pStyle w:val="2"/>
        <w:rPr>
          <w:rFonts w:hint="eastAsia" w:ascii="Times New Roman" w:hAnsi="Times New Roman" w:eastAsia="仿宋_GB2312" w:cs="仿宋_GB2312"/>
          <w:color w:val="auto"/>
          <w:kern w:val="2"/>
          <w:sz w:val="32"/>
          <w:szCs w:val="32"/>
          <w:highlight w:val="none"/>
          <w:lang w:val="en-US" w:eastAsia="zh-CN" w:bidi="ar-SA"/>
        </w:rPr>
      </w:pPr>
    </w:p>
    <w:p w14:paraId="560E518F">
      <w:pPr>
        <w:pStyle w:val="2"/>
        <w:rPr>
          <w:rFonts w:hint="eastAsia" w:ascii="Times New Roman" w:hAnsi="Times New Roman" w:eastAsia="仿宋_GB2312" w:cs="仿宋_GB2312"/>
          <w:color w:val="auto"/>
          <w:kern w:val="2"/>
          <w:sz w:val="32"/>
          <w:szCs w:val="32"/>
          <w:highlight w:val="none"/>
          <w:lang w:val="en-US" w:eastAsia="zh-CN" w:bidi="ar-SA"/>
        </w:rPr>
      </w:pPr>
    </w:p>
    <w:p w14:paraId="73EAE3FA">
      <w:pPr>
        <w:pStyle w:val="2"/>
        <w:rPr>
          <w:rFonts w:hint="eastAsia" w:ascii="Times New Roman" w:hAnsi="Times New Roman" w:eastAsia="仿宋_GB2312" w:cs="仿宋_GB2312"/>
          <w:color w:val="auto"/>
          <w:kern w:val="2"/>
          <w:sz w:val="32"/>
          <w:szCs w:val="32"/>
          <w:highlight w:val="none"/>
          <w:lang w:val="en-US" w:eastAsia="zh-CN" w:bidi="ar-SA"/>
        </w:rPr>
      </w:pPr>
    </w:p>
    <w:p w14:paraId="39668CD4">
      <w:pPr>
        <w:pStyle w:val="2"/>
        <w:rPr>
          <w:rFonts w:hint="eastAsia" w:ascii="Times New Roman" w:hAnsi="Times New Roman" w:eastAsia="仿宋_GB2312" w:cs="仿宋_GB2312"/>
          <w:color w:val="auto"/>
          <w:kern w:val="2"/>
          <w:sz w:val="32"/>
          <w:szCs w:val="32"/>
          <w:highlight w:val="none"/>
          <w:lang w:val="en-US" w:eastAsia="zh-CN" w:bidi="ar-SA"/>
        </w:rPr>
      </w:pPr>
    </w:p>
    <w:p w14:paraId="2F4FAB1F">
      <w:pPr>
        <w:pStyle w:val="2"/>
        <w:rPr>
          <w:rFonts w:hint="eastAsia" w:ascii="Times New Roman" w:hAnsi="Times New Roman" w:eastAsia="仿宋_GB2312" w:cs="仿宋_GB2312"/>
          <w:color w:val="auto"/>
          <w:kern w:val="2"/>
          <w:sz w:val="32"/>
          <w:szCs w:val="32"/>
          <w:highlight w:val="none"/>
          <w:lang w:val="en-US" w:eastAsia="zh-CN" w:bidi="ar-SA"/>
        </w:rPr>
      </w:pPr>
    </w:p>
    <w:p w14:paraId="5C231975">
      <w:pPr>
        <w:pStyle w:val="2"/>
        <w:rPr>
          <w:rFonts w:hint="eastAsia" w:ascii="Times New Roman" w:hAnsi="Times New Roman" w:eastAsia="仿宋_GB2312" w:cs="仿宋_GB2312"/>
          <w:color w:val="auto"/>
          <w:kern w:val="2"/>
          <w:sz w:val="32"/>
          <w:szCs w:val="32"/>
          <w:highlight w:val="none"/>
          <w:lang w:val="en-US" w:eastAsia="zh-CN" w:bidi="ar-SA"/>
        </w:rPr>
      </w:pPr>
    </w:p>
    <w:p w14:paraId="57C2E782">
      <w:pPr>
        <w:pStyle w:val="2"/>
        <w:rPr>
          <w:rFonts w:hint="eastAsia" w:ascii="Times New Roman" w:hAnsi="Times New Roman" w:eastAsia="仿宋_GB2312" w:cs="仿宋_GB2312"/>
          <w:color w:val="auto"/>
          <w:kern w:val="2"/>
          <w:sz w:val="32"/>
          <w:szCs w:val="32"/>
          <w:highlight w:val="none"/>
          <w:lang w:val="en-US" w:eastAsia="zh-CN" w:bidi="ar-SA"/>
        </w:rPr>
      </w:pPr>
    </w:p>
    <w:p w14:paraId="11E358FA">
      <w:pPr>
        <w:pStyle w:val="2"/>
        <w:rPr>
          <w:rFonts w:hint="eastAsia" w:ascii="Times New Roman" w:hAnsi="Times New Roman" w:eastAsia="仿宋_GB2312" w:cs="仿宋_GB2312"/>
          <w:color w:val="auto"/>
          <w:kern w:val="2"/>
          <w:sz w:val="32"/>
          <w:szCs w:val="32"/>
          <w:highlight w:val="none"/>
          <w:lang w:val="en-US" w:eastAsia="zh-CN" w:bidi="ar-SA"/>
        </w:rPr>
      </w:pPr>
    </w:p>
    <w:p w14:paraId="07D69C2D">
      <w:pPr>
        <w:pageBreakBefore w:val="0"/>
        <w:numPr>
          <w:ilvl w:val="0"/>
          <w:numId w:val="0"/>
        </w:numPr>
        <w:kinsoku/>
        <w:wordWrap/>
        <w:overflowPunct/>
        <w:topLinePunct w:val="0"/>
        <w:autoSpaceDE/>
        <w:autoSpaceDN/>
        <w:bidi w:val="0"/>
        <w:spacing w:line="240" w:lineRule="auto"/>
        <w:jc w:val="center"/>
        <w:textAlignment w:val="auto"/>
        <w:outlineLvl w:val="0"/>
        <w:rPr>
          <w:rFonts w:hint="eastAsia" w:ascii="Times New Roman" w:hAnsi="Times New Roman" w:eastAsia="黑体"/>
          <w:color w:val="auto"/>
          <w:sz w:val="44"/>
          <w:szCs w:val="44"/>
          <w:highlight w:val="none"/>
        </w:rPr>
      </w:pPr>
      <w:bookmarkStart w:id="51" w:name="_Toc15396613"/>
      <w:bookmarkStart w:id="52"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1"/>
      <w:bookmarkEnd w:id="52"/>
    </w:p>
    <w:p w14:paraId="004C4602">
      <w:pPr>
        <w:pageBreakBefore w:val="0"/>
        <w:kinsoku/>
        <w:wordWrap/>
        <w:overflowPunct/>
        <w:topLinePunct w:val="0"/>
        <w:autoSpaceDE/>
        <w:autoSpaceDN/>
        <w:bidi w:val="0"/>
        <w:spacing w:line="240" w:lineRule="auto"/>
        <w:jc w:val="left"/>
        <w:textAlignment w:val="auto"/>
        <w:rPr>
          <w:rFonts w:ascii="Times New Roman" w:hAnsi="Times New Roman"/>
          <w:b/>
          <w:color w:val="auto"/>
          <w:sz w:val="44"/>
          <w:szCs w:val="44"/>
          <w:highlight w:val="none"/>
        </w:rPr>
      </w:pPr>
    </w:p>
    <w:p w14:paraId="0D89CB05">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186B9D52">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5A7BD33B">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734D6B88">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4D190403">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24CC40E8">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6A845543">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3E6468B7">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52E0728B">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ascii="Times New Roman" w:hAnsi="Times New Roman" w:eastAsia="方正仿宋_GBK" w:cs="仿宋"/>
          <w:color w:val="000000"/>
          <w:kern w:val="2"/>
          <w:sz w:val="32"/>
          <w:szCs w:val="32"/>
        </w:rPr>
      </w:pPr>
      <w:r>
        <w:rPr>
          <w:rFonts w:ascii="Times New Roman" w:hAnsi="Times New Roman" w:eastAsia="方正仿宋_GBK" w:cs="Times New Roman"/>
          <w:b w:val="0"/>
          <w:i w:val="0"/>
          <w:spacing w:val="0"/>
          <w:kern w:val="2"/>
          <w:sz w:val="32"/>
          <w:szCs w:val="32"/>
          <w:lang w:val="en-US" w:eastAsia="zh-CN"/>
        </w:rPr>
        <w:t>10.</w:t>
      </w:r>
      <w:r>
        <w:rPr>
          <w:rFonts w:hint="eastAsia" w:ascii="Times New Roman" w:hAnsi="Times New Roman" w:eastAsia="方正仿宋_GBK" w:cs="方正仿宋_GBK"/>
          <w:b w:val="0"/>
          <w:i w:val="0"/>
          <w:color w:val="000000"/>
          <w:spacing w:val="0"/>
          <w:kern w:val="2"/>
          <w:sz w:val="32"/>
          <w:szCs w:val="32"/>
          <w:lang w:val="en-US" w:eastAsia="zh-CN"/>
        </w:rPr>
        <w:t>一般公共服务支出（类）宣传事务（款）行政运行（项）</w:t>
      </w:r>
      <w:r>
        <w:rPr>
          <w:rFonts w:hint="eastAsia" w:ascii="Times New Roman" w:hAnsi="Times New Roman" w:eastAsia="方正仿宋_GBK" w:cs="方正仿宋_GBK"/>
          <w:b w:val="0"/>
          <w:i w:val="0"/>
          <w:spacing w:val="0"/>
          <w:kern w:val="2"/>
          <w:sz w:val="32"/>
          <w:szCs w:val="32"/>
          <w:lang w:val="en-US" w:eastAsia="zh-CN"/>
        </w:rPr>
        <w:t>：</w:t>
      </w:r>
      <w:r>
        <w:rPr>
          <w:rFonts w:ascii="Times New Roman" w:hAnsi="Times New Roman" w:eastAsia="方正仿宋_GBK" w:cs="仿宋"/>
          <w:color w:val="000000"/>
          <w:kern w:val="2"/>
          <w:sz w:val="32"/>
          <w:szCs w:val="32"/>
          <w:lang w:val="en-US" w:eastAsia="zh-CN"/>
        </w:rPr>
        <w:t>指</w:t>
      </w:r>
      <w:r>
        <w:rPr>
          <w:rFonts w:ascii="Times New Roman" w:hAnsi="Times New Roman" w:eastAsia="方正仿宋_GBK" w:cs="仿宋"/>
          <w:color w:val="000000"/>
          <w:kern w:val="0"/>
          <w:sz w:val="32"/>
          <w:szCs w:val="32"/>
          <w:lang w:val="en-US" w:eastAsia="zh-CN"/>
        </w:rPr>
        <w:t>行政单位（包括实行公务员管理的事业单位）的基本支出</w:t>
      </w:r>
      <w:r>
        <w:rPr>
          <w:rFonts w:ascii="Times New Roman" w:hAnsi="Times New Roman" w:eastAsia="方正仿宋_GBK" w:cs="仿宋"/>
          <w:color w:val="000000"/>
          <w:kern w:val="2"/>
          <w:sz w:val="32"/>
          <w:szCs w:val="32"/>
          <w:lang w:val="en-US" w:eastAsia="zh-CN"/>
        </w:rPr>
        <w:t>。</w:t>
      </w:r>
    </w:p>
    <w:p w14:paraId="7D1ABBC2">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ascii="Times New Roman" w:hAnsi="Times New Roman" w:eastAsia="方正仿宋_GBK" w:cs="仿宋"/>
          <w:color w:val="000000"/>
          <w:kern w:val="0"/>
          <w:sz w:val="32"/>
          <w:szCs w:val="32"/>
        </w:rPr>
      </w:pPr>
      <w:r>
        <w:rPr>
          <w:rFonts w:ascii="Times New Roman" w:hAnsi="Times New Roman" w:eastAsia="方正仿宋_GBK" w:cs="Times New Roman"/>
          <w:b w:val="0"/>
          <w:i w:val="0"/>
          <w:spacing w:val="0"/>
          <w:kern w:val="2"/>
          <w:sz w:val="32"/>
          <w:szCs w:val="32"/>
          <w:lang w:val="en-US" w:eastAsia="zh-CN"/>
        </w:rPr>
        <w:t>11.</w:t>
      </w:r>
      <w:r>
        <w:rPr>
          <w:rFonts w:hint="eastAsia" w:ascii="Times New Roman" w:hAnsi="Times New Roman" w:eastAsia="方正仿宋_GBK" w:cs="方正仿宋_GBK"/>
          <w:b w:val="0"/>
          <w:i w:val="0"/>
          <w:color w:val="000000"/>
          <w:spacing w:val="0"/>
          <w:kern w:val="2"/>
          <w:sz w:val="32"/>
          <w:szCs w:val="32"/>
          <w:lang w:val="en-US" w:eastAsia="zh-CN"/>
        </w:rPr>
        <w:t>一般公共服务支出（类）宣传事务（款）一般行政管理事务（项）</w:t>
      </w:r>
      <w:r>
        <w:rPr>
          <w:rFonts w:hint="eastAsia" w:ascii="Times New Roman" w:hAnsi="Times New Roman" w:eastAsia="方正仿宋_GBK" w:cs="方正仿宋_GBK"/>
          <w:b w:val="0"/>
          <w:i w:val="0"/>
          <w:spacing w:val="0"/>
          <w:kern w:val="2"/>
          <w:sz w:val="32"/>
          <w:szCs w:val="32"/>
          <w:lang w:val="en-US" w:eastAsia="zh-CN"/>
        </w:rPr>
        <w:t>：</w:t>
      </w:r>
      <w:r>
        <w:rPr>
          <w:rFonts w:ascii="Times New Roman" w:hAnsi="Times New Roman" w:eastAsia="方正仿宋_GBK" w:cs="仿宋"/>
          <w:color w:val="000000"/>
          <w:kern w:val="0"/>
          <w:sz w:val="32"/>
          <w:szCs w:val="32"/>
          <w:lang w:val="en-US" w:eastAsia="zh-CN"/>
        </w:rPr>
        <w:t>指行政单位（包括实行公务员管理的事业单位）未单独设置项级科目的其他项目支出。</w:t>
      </w:r>
    </w:p>
    <w:p w14:paraId="65BE0F08">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ascii="Times New Roman" w:hAnsi="Times New Roman" w:eastAsia="方正仿宋_GBK" w:cs="仿宋"/>
          <w:color w:val="000000"/>
          <w:kern w:val="2"/>
          <w:sz w:val="32"/>
          <w:szCs w:val="32"/>
        </w:rPr>
      </w:pPr>
      <w:r>
        <w:rPr>
          <w:rFonts w:ascii="Times New Roman" w:hAnsi="Times New Roman" w:eastAsia="方正仿宋_GBK" w:cs="Times New Roman"/>
          <w:b w:val="0"/>
          <w:i w:val="0"/>
          <w:spacing w:val="0"/>
          <w:kern w:val="2"/>
          <w:sz w:val="32"/>
          <w:szCs w:val="32"/>
          <w:lang w:val="en-US" w:eastAsia="zh-CN"/>
        </w:rPr>
        <w:t>12.</w:t>
      </w:r>
      <w:r>
        <w:rPr>
          <w:rFonts w:hint="eastAsia" w:ascii="Times New Roman" w:hAnsi="Times New Roman" w:eastAsia="方正仿宋_GBK" w:cs="方正仿宋_GBK"/>
          <w:b w:val="0"/>
          <w:i w:val="0"/>
          <w:color w:val="000000"/>
          <w:spacing w:val="0"/>
          <w:kern w:val="2"/>
          <w:sz w:val="32"/>
          <w:szCs w:val="32"/>
          <w:lang w:val="en-US" w:eastAsia="zh-CN"/>
        </w:rPr>
        <w:t>一般公共服务支出（类）宣传事务（款）事业运行（项）</w:t>
      </w:r>
      <w:r>
        <w:rPr>
          <w:rFonts w:hint="eastAsia" w:ascii="Times New Roman" w:hAnsi="Times New Roman" w:eastAsia="方正仿宋_GBK" w:cs="方正仿宋_GBK"/>
          <w:b w:val="0"/>
          <w:i w:val="0"/>
          <w:spacing w:val="0"/>
          <w:kern w:val="2"/>
          <w:sz w:val="32"/>
          <w:szCs w:val="32"/>
          <w:lang w:val="en-US" w:eastAsia="zh-CN"/>
        </w:rPr>
        <w:t>：</w:t>
      </w:r>
      <w:r>
        <w:rPr>
          <w:rFonts w:ascii="Times New Roman" w:hAnsi="Times New Roman" w:eastAsia="方正仿宋_GBK" w:cs="仿宋"/>
          <w:color w:val="000000"/>
          <w:kern w:val="2"/>
          <w:sz w:val="32"/>
          <w:szCs w:val="32"/>
          <w:lang w:val="en-US" w:eastAsia="zh-CN"/>
        </w:rPr>
        <w:t>指</w:t>
      </w:r>
      <w:r>
        <w:rPr>
          <w:rFonts w:ascii="Times New Roman" w:hAnsi="Times New Roman" w:eastAsia="方正仿宋_GBK" w:cs="仿宋"/>
          <w:color w:val="000000"/>
          <w:kern w:val="0"/>
          <w:sz w:val="32"/>
          <w:szCs w:val="32"/>
          <w:lang w:val="en-US" w:eastAsia="zh-CN"/>
        </w:rPr>
        <w:t>行政单位（包括实行公务员管理的事业单位）的基本支出</w:t>
      </w:r>
      <w:r>
        <w:rPr>
          <w:rFonts w:ascii="Times New Roman" w:hAnsi="Times New Roman" w:eastAsia="方正仿宋_GBK" w:cs="仿宋"/>
          <w:color w:val="000000"/>
          <w:kern w:val="2"/>
          <w:sz w:val="32"/>
          <w:szCs w:val="32"/>
          <w:lang w:val="en-US" w:eastAsia="zh-CN"/>
        </w:rPr>
        <w:t>。</w:t>
      </w:r>
    </w:p>
    <w:p w14:paraId="30D5C1DA">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ascii="Times New Roman" w:hAnsi="Times New Roman" w:eastAsia="方正仿宋_GBK" w:cs="Times New Roman"/>
          <w:kern w:val="2"/>
          <w:sz w:val="21"/>
          <w:szCs w:val="21"/>
        </w:rPr>
      </w:pPr>
      <w:r>
        <w:rPr>
          <w:rFonts w:ascii="Times New Roman" w:hAnsi="Times New Roman" w:eastAsia="方正仿宋_GBK" w:cs="Times New Roman"/>
          <w:kern w:val="2"/>
          <w:sz w:val="32"/>
          <w:szCs w:val="32"/>
          <w:lang w:val="en-US" w:eastAsia="zh-CN"/>
        </w:rPr>
        <w:t>1</w:t>
      </w:r>
      <w:r>
        <w:rPr>
          <w:rFonts w:hint="eastAsia" w:ascii="Times New Roman" w:hAnsi="Times New Roman" w:eastAsia="方正仿宋_GBK" w:cs="Times New Roman"/>
          <w:kern w:val="2"/>
          <w:sz w:val="32"/>
          <w:szCs w:val="32"/>
          <w:lang w:val="en-US" w:eastAsia="zh-CN"/>
        </w:rPr>
        <w:t>3</w:t>
      </w:r>
      <w:r>
        <w:rPr>
          <w:rFonts w:ascii="Times New Roman" w:hAnsi="Times New Roman" w:eastAsia="方正仿宋_GBK" w:cs="Times New Roman"/>
          <w:kern w:val="2"/>
          <w:sz w:val="32"/>
          <w:szCs w:val="32"/>
          <w:lang w:val="en-US" w:eastAsia="zh-CN"/>
        </w:rPr>
        <w:t>.</w:t>
      </w:r>
      <w:r>
        <w:rPr>
          <w:rFonts w:ascii="Times New Roman" w:hAnsi="Times New Roman" w:eastAsia="方正仿宋_GBK" w:cs="仿宋_GB2312"/>
          <w:kern w:val="2"/>
          <w:sz w:val="32"/>
          <w:szCs w:val="32"/>
          <w:lang w:val="en-US" w:eastAsia="zh-CN"/>
        </w:rPr>
        <w:t>文化旅游体育与传媒（类）文化和旅游（款）其他文化和旅游支出（项）：指文化和旅游款项中单列以外的其他用于文化和旅游方面的支出。</w:t>
      </w:r>
    </w:p>
    <w:p w14:paraId="73466762">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ascii="Times New Roman" w:hAnsi="Times New Roman" w:eastAsia="方正仿宋_GBK" w:cs="方正仿宋_GBK"/>
          <w:b w:val="0"/>
          <w:i w:val="0"/>
          <w:spacing w:val="0"/>
          <w:kern w:val="2"/>
          <w:sz w:val="32"/>
          <w:szCs w:val="32"/>
        </w:rPr>
      </w:pPr>
      <w:r>
        <w:rPr>
          <w:rFonts w:ascii="Times New Roman" w:hAnsi="Times New Roman" w:eastAsia="方正仿宋_GBK" w:cs="Times New Roman"/>
          <w:b w:val="0"/>
          <w:i w:val="0"/>
          <w:spacing w:val="0"/>
          <w:kern w:val="2"/>
          <w:sz w:val="32"/>
          <w:szCs w:val="32"/>
          <w:lang w:val="en-US" w:eastAsia="zh-CN"/>
        </w:rPr>
        <w:t>1</w:t>
      </w:r>
      <w:r>
        <w:rPr>
          <w:rFonts w:hint="eastAsia" w:ascii="Times New Roman" w:hAnsi="Times New Roman" w:eastAsia="方正仿宋_GBK" w:cs="Times New Roman"/>
          <w:b w:val="0"/>
          <w:i w:val="0"/>
          <w:spacing w:val="0"/>
          <w:kern w:val="2"/>
          <w:sz w:val="32"/>
          <w:szCs w:val="32"/>
          <w:lang w:val="en-US" w:eastAsia="zh-CN"/>
        </w:rPr>
        <w:t>4</w:t>
      </w:r>
      <w:r>
        <w:rPr>
          <w:rFonts w:ascii="Times New Roman" w:hAnsi="Times New Roman" w:eastAsia="方正仿宋_GBK" w:cs="Times New Roman"/>
          <w:b w:val="0"/>
          <w:i w:val="0"/>
          <w:spacing w:val="0"/>
          <w:kern w:val="2"/>
          <w:sz w:val="32"/>
          <w:szCs w:val="32"/>
          <w:lang w:val="en-US" w:eastAsia="zh-CN"/>
        </w:rPr>
        <w:t>.</w:t>
      </w:r>
      <w:r>
        <w:rPr>
          <w:rFonts w:hint="eastAsia" w:ascii="Times New Roman" w:hAnsi="Times New Roman" w:eastAsia="方正仿宋_GBK" w:cs="方正仿宋_GBK"/>
          <w:b w:val="0"/>
          <w:i w:val="0"/>
          <w:color w:val="000000"/>
          <w:spacing w:val="0"/>
          <w:kern w:val="2"/>
          <w:sz w:val="32"/>
          <w:szCs w:val="32"/>
          <w:lang w:val="en-US" w:eastAsia="zh-CN"/>
        </w:rPr>
        <w:t>文化旅游体育与传媒支出（类）其他文化旅游体育与传媒支出（款）宣传文化发展专项支出（项）</w:t>
      </w:r>
      <w:r>
        <w:rPr>
          <w:rFonts w:hint="eastAsia" w:ascii="Times New Roman" w:hAnsi="Times New Roman" w:eastAsia="方正仿宋_GBK" w:cs="方正仿宋_GBK"/>
          <w:b w:val="0"/>
          <w:i w:val="0"/>
          <w:spacing w:val="0"/>
          <w:kern w:val="2"/>
          <w:sz w:val="32"/>
          <w:szCs w:val="32"/>
          <w:lang w:val="en-US" w:eastAsia="zh-CN"/>
        </w:rPr>
        <w:t>：指按照国家有关政策支持宣传文化单位发展的专项支出。</w:t>
      </w:r>
    </w:p>
    <w:p w14:paraId="489CD6C5">
      <w:pPr>
        <w:pStyle w:val="15"/>
        <w:keepNext w:val="0"/>
        <w:keepLines w:val="0"/>
        <w:widowControl w:val="0"/>
        <w:suppressLineNumbers w:val="0"/>
        <w:snapToGrid w:val="0"/>
        <w:spacing w:before="0" w:beforeAutospacing="0" w:after="0" w:afterAutospacing="0"/>
        <w:ind w:left="0" w:right="0"/>
        <w:jc w:val="left"/>
        <w:rPr>
          <w:rFonts w:hint="eastAsia" w:ascii="Times New Roman" w:hAnsi="Times New Roman" w:eastAsia="方正仿宋_GBK" w:cs="Times New Roman"/>
          <w:kern w:val="2"/>
          <w:sz w:val="18"/>
          <w:szCs w:val="18"/>
        </w:rPr>
      </w:pPr>
      <w:r>
        <w:rPr>
          <w:rFonts w:hint="eastAsia" w:ascii="Times New Roman" w:hAnsi="Times New Roman" w:eastAsia="方正仿宋_GBK" w:cs="Times New Roman"/>
          <w:kern w:val="2"/>
          <w:sz w:val="18"/>
          <w:szCs w:val="18"/>
          <w:lang w:val="en-US" w:eastAsia="zh-CN"/>
        </w:rPr>
        <w:t xml:space="preserve"> </w:t>
      </w:r>
    </w:p>
    <w:p w14:paraId="5AD0263B">
      <w:pPr>
        <w:keepNext w:val="0"/>
        <w:keepLines w:val="0"/>
        <w:widowControl w:val="0"/>
        <w:suppressLineNumbers w:val="0"/>
        <w:spacing w:before="0" w:beforeAutospacing="0" w:after="0" w:afterAutospacing="0"/>
        <w:ind w:left="0" w:right="0" w:firstLine="640" w:firstLineChars="200"/>
        <w:jc w:val="both"/>
        <w:rPr>
          <w:rFonts w:ascii="Times New Roman" w:hAnsi="Times New Roman" w:eastAsia="方正仿宋_GBK" w:cs="仿宋"/>
          <w:color w:val="000000"/>
          <w:kern w:val="2"/>
          <w:sz w:val="32"/>
          <w:szCs w:val="32"/>
        </w:rPr>
      </w:pPr>
      <w:r>
        <w:rPr>
          <w:rFonts w:ascii="Times New Roman" w:hAnsi="Times New Roman" w:eastAsia="方正仿宋_GBK" w:cs="Times New Roman"/>
          <w:b w:val="0"/>
          <w:i w:val="0"/>
          <w:spacing w:val="0"/>
          <w:kern w:val="2"/>
          <w:sz w:val="32"/>
          <w:szCs w:val="32"/>
          <w:lang w:val="en-US" w:eastAsia="zh-CN"/>
        </w:rPr>
        <w:t>1</w:t>
      </w:r>
      <w:r>
        <w:rPr>
          <w:rFonts w:hint="eastAsia" w:ascii="Times New Roman" w:hAnsi="Times New Roman" w:eastAsia="方正仿宋_GBK" w:cs="Times New Roman"/>
          <w:b w:val="0"/>
          <w:i w:val="0"/>
          <w:spacing w:val="0"/>
          <w:kern w:val="2"/>
          <w:sz w:val="32"/>
          <w:szCs w:val="32"/>
          <w:lang w:val="en-US" w:eastAsia="zh-CN"/>
        </w:rPr>
        <w:t>5</w:t>
      </w:r>
      <w:r>
        <w:rPr>
          <w:rFonts w:ascii="Times New Roman" w:hAnsi="Times New Roman" w:eastAsia="方正仿宋_GBK" w:cs="Times New Roman"/>
          <w:b w:val="0"/>
          <w:i w:val="0"/>
          <w:spacing w:val="0"/>
          <w:kern w:val="2"/>
          <w:sz w:val="32"/>
          <w:szCs w:val="32"/>
          <w:lang w:val="en-US" w:eastAsia="zh-CN"/>
        </w:rPr>
        <w:t>.</w:t>
      </w:r>
      <w:r>
        <w:rPr>
          <w:rFonts w:hint="eastAsia" w:ascii="Times New Roman" w:hAnsi="Times New Roman" w:eastAsia="方正仿宋_GBK" w:cs="方正仿宋_GBK"/>
          <w:b w:val="0"/>
          <w:i w:val="0"/>
          <w:color w:val="000000"/>
          <w:spacing w:val="0"/>
          <w:kern w:val="2"/>
          <w:sz w:val="32"/>
          <w:szCs w:val="32"/>
          <w:lang w:val="en-US" w:eastAsia="zh-CN"/>
        </w:rPr>
        <w:t>社会保障和就业支出（类）行政事业单位养老支出（款）机关事业单位基本养老保险缴费支出（项）</w:t>
      </w:r>
      <w:r>
        <w:rPr>
          <w:rFonts w:hint="eastAsia" w:ascii="Times New Roman" w:hAnsi="Times New Roman" w:eastAsia="方正仿宋_GBK" w:cs="方正仿宋_GBK"/>
          <w:b w:val="0"/>
          <w:i w:val="0"/>
          <w:spacing w:val="0"/>
          <w:kern w:val="2"/>
          <w:sz w:val="32"/>
          <w:szCs w:val="32"/>
          <w:lang w:val="en-US" w:eastAsia="zh-CN"/>
        </w:rPr>
        <w:t>：</w:t>
      </w:r>
      <w:r>
        <w:rPr>
          <w:rFonts w:ascii="Times New Roman" w:hAnsi="Times New Roman" w:eastAsia="方正仿宋_GBK" w:cs="仿宋"/>
          <w:color w:val="000000"/>
          <w:kern w:val="2"/>
          <w:sz w:val="32"/>
          <w:szCs w:val="32"/>
          <w:lang w:val="en-US" w:eastAsia="zh-CN"/>
        </w:rPr>
        <w:t>指机关事业单位实施养老保险制度由单位缴纳的基本养老保险费支出。</w:t>
      </w:r>
    </w:p>
    <w:p w14:paraId="0ADEA4B8">
      <w:pPr>
        <w:keepNext w:val="0"/>
        <w:keepLines w:val="0"/>
        <w:widowControl w:val="0"/>
        <w:suppressLineNumbers w:val="0"/>
        <w:spacing w:before="0" w:beforeAutospacing="0" w:after="0" w:afterAutospacing="0" w:line="600" w:lineRule="exact"/>
        <w:ind w:left="0" w:right="0" w:firstLine="640" w:firstLineChars="200"/>
        <w:jc w:val="both"/>
        <w:rPr>
          <w:rFonts w:ascii="Times New Roman" w:hAnsi="Times New Roman" w:eastAsia="方正仿宋_GBK" w:cs="仿宋"/>
          <w:color w:val="000000"/>
          <w:kern w:val="2"/>
          <w:sz w:val="32"/>
          <w:szCs w:val="32"/>
        </w:rPr>
      </w:pPr>
      <w:r>
        <w:rPr>
          <w:rFonts w:ascii="Times New Roman" w:hAnsi="Times New Roman" w:eastAsia="方正仿宋_GBK" w:cs="Times New Roman"/>
          <w:b w:val="0"/>
          <w:i w:val="0"/>
          <w:spacing w:val="0"/>
          <w:kern w:val="2"/>
          <w:sz w:val="32"/>
          <w:szCs w:val="32"/>
          <w:lang w:val="en-US" w:eastAsia="zh-CN"/>
        </w:rPr>
        <w:t>1</w:t>
      </w:r>
      <w:r>
        <w:rPr>
          <w:rFonts w:hint="eastAsia" w:ascii="Times New Roman" w:hAnsi="Times New Roman" w:eastAsia="方正仿宋_GBK" w:cs="Times New Roman"/>
          <w:b w:val="0"/>
          <w:i w:val="0"/>
          <w:spacing w:val="0"/>
          <w:kern w:val="2"/>
          <w:sz w:val="32"/>
          <w:szCs w:val="32"/>
          <w:lang w:val="en-US" w:eastAsia="zh-CN"/>
        </w:rPr>
        <w:t>6</w:t>
      </w:r>
      <w:r>
        <w:rPr>
          <w:rFonts w:ascii="Times New Roman" w:hAnsi="Times New Roman" w:eastAsia="方正仿宋_GBK" w:cs="Times New Roman"/>
          <w:b w:val="0"/>
          <w:i w:val="0"/>
          <w:spacing w:val="0"/>
          <w:kern w:val="2"/>
          <w:sz w:val="32"/>
          <w:szCs w:val="32"/>
          <w:lang w:val="en-US" w:eastAsia="zh-CN"/>
        </w:rPr>
        <w:t>.</w:t>
      </w:r>
      <w:r>
        <w:rPr>
          <w:rFonts w:hint="eastAsia" w:ascii="Times New Roman" w:hAnsi="Times New Roman" w:eastAsia="方正仿宋_GBK" w:cs="方正仿宋_GBK"/>
          <w:b w:val="0"/>
          <w:i w:val="0"/>
          <w:color w:val="000000"/>
          <w:spacing w:val="0"/>
          <w:kern w:val="2"/>
          <w:sz w:val="32"/>
          <w:szCs w:val="32"/>
          <w:lang w:val="en-US" w:eastAsia="zh-CN"/>
        </w:rPr>
        <w:t>卫生健康支出（类）行政事业单位医疗（款）行政单位医疗（项）</w:t>
      </w:r>
      <w:r>
        <w:rPr>
          <w:rFonts w:hint="eastAsia" w:ascii="Times New Roman" w:hAnsi="Times New Roman" w:eastAsia="方正仿宋_GBK" w:cs="方正仿宋_GBK"/>
          <w:b w:val="0"/>
          <w:i w:val="0"/>
          <w:spacing w:val="0"/>
          <w:kern w:val="2"/>
          <w:sz w:val="32"/>
          <w:szCs w:val="32"/>
          <w:lang w:val="en-US" w:eastAsia="zh-CN"/>
        </w:rPr>
        <w:t>：</w:t>
      </w:r>
      <w:r>
        <w:rPr>
          <w:rFonts w:ascii="Times New Roman" w:hAnsi="Times New Roman" w:eastAsia="方正仿宋_GBK" w:cs="仿宋"/>
          <w:color w:val="000000"/>
          <w:kern w:val="2"/>
          <w:sz w:val="32"/>
          <w:szCs w:val="32"/>
          <w:lang w:val="en-US" w:eastAsia="zh-CN"/>
        </w:rPr>
        <w:t>反映财政部门集中安排的行政单位基本医疗保险缴费经费，未参加医疗保险的行政单位的公费医疗经费，按国家规定享受离休人员、红军老战士待遇人员的医疗经费。</w:t>
      </w:r>
    </w:p>
    <w:p w14:paraId="47B713F0">
      <w:pPr>
        <w:keepNext w:val="0"/>
        <w:keepLines w:val="0"/>
        <w:widowControl w:val="0"/>
        <w:suppressLineNumbers w:val="0"/>
        <w:spacing w:before="0" w:beforeAutospacing="0" w:after="0" w:afterAutospacing="0" w:line="600" w:lineRule="exact"/>
        <w:ind w:left="0" w:right="0" w:firstLine="640" w:firstLineChars="200"/>
        <w:jc w:val="both"/>
        <w:rPr>
          <w:rFonts w:ascii="Times New Roman" w:hAnsi="Times New Roman" w:eastAsia="方正仿宋_GBK" w:cs="仿宋_GB2312"/>
          <w:kern w:val="2"/>
          <w:sz w:val="32"/>
          <w:szCs w:val="32"/>
        </w:rPr>
      </w:pPr>
      <w:r>
        <w:rPr>
          <w:rFonts w:ascii="Times New Roman" w:hAnsi="Times New Roman" w:eastAsia="方正仿宋_GBK" w:cs="Times New Roman"/>
          <w:kern w:val="2"/>
          <w:sz w:val="32"/>
          <w:szCs w:val="32"/>
          <w:lang w:val="en-US" w:eastAsia="zh-CN"/>
        </w:rPr>
        <w:t>1</w:t>
      </w:r>
      <w:r>
        <w:rPr>
          <w:rFonts w:hint="eastAsia" w:ascii="Times New Roman" w:hAnsi="Times New Roman" w:eastAsia="方正仿宋_GBK" w:cs="Times New Roman"/>
          <w:kern w:val="2"/>
          <w:sz w:val="32"/>
          <w:szCs w:val="32"/>
          <w:lang w:val="en-US" w:eastAsia="zh-CN"/>
        </w:rPr>
        <w:t>7</w:t>
      </w:r>
      <w:r>
        <w:rPr>
          <w:rFonts w:ascii="Times New Roman" w:hAnsi="Times New Roman" w:eastAsia="方正仿宋_GBK" w:cs="Times New Roman"/>
          <w:kern w:val="2"/>
          <w:sz w:val="32"/>
          <w:szCs w:val="32"/>
          <w:lang w:val="en-US" w:eastAsia="zh-CN"/>
        </w:rPr>
        <w:t>.</w:t>
      </w:r>
      <w:r>
        <w:rPr>
          <w:rFonts w:ascii="Times New Roman" w:hAnsi="Times New Roman" w:eastAsia="方正仿宋_GBK" w:cs="仿宋_GB2312"/>
          <w:kern w:val="2"/>
          <w:sz w:val="32"/>
          <w:szCs w:val="32"/>
          <w:lang w:val="en-US" w:eastAsia="zh-CN"/>
        </w:rPr>
        <w:t>卫生健康（类）行政事业单位医疗（款）事业单位医疗（项）：指财政部安排的事业单位基本医疗保险缴费经费，未参加医疗保险的事业单位的公费医疗经费，按国家规定享受离休人员待遇的医疗经费。</w:t>
      </w:r>
    </w:p>
    <w:p w14:paraId="0FA4D55F">
      <w:pPr>
        <w:keepNext w:val="0"/>
        <w:keepLines w:val="0"/>
        <w:widowControl w:val="0"/>
        <w:suppressLineNumbers w:val="0"/>
        <w:spacing w:before="0" w:beforeAutospacing="0" w:after="0" w:afterAutospacing="0" w:line="600" w:lineRule="exact"/>
        <w:ind w:left="0" w:right="0" w:firstLine="640" w:firstLineChars="200"/>
        <w:jc w:val="both"/>
        <w:rPr>
          <w:rFonts w:ascii="Times New Roman" w:hAnsi="Times New Roman" w:eastAsia="方正仿宋_GBK" w:cs="仿宋_GB2312"/>
          <w:kern w:val="2"/>
          <w:sz w:val="32"/>
          <w:szCs w:val="32"/>
        </w:rPr>
      </w:pPr>
      <w:r>
        <w:rPr>
          <w:rFonts w:hint="eastAsia" w:ascii="Times New Roman" w:hAnsi="Times New Roman" w:eastAsia="方正仿宋_GBK" w:cs="仿宋_GB2312"/>
          <w:kern w:val="2"/>
          <w:sz w:val="32"/>
          <w:szCs w:val="32"/>
          <w:lang w:val="en-US" w:eastAsia="zh-CN"/>
        </w:rPr>
        <w:t>18</w:t>
      </w:r>
      <w:r>
        <w:rPr>
          <w:rFonts w:ascii="Times New Roman" w:hAnsi="Times New Roman" w:eastAsia="方正仿宋_GBK" w:cs="仿宋_GB2312"/>
          <w:kern w:val="2"/>
          <w:sz w:val="32"/>
          <w:szCs w:val="32"/>
          <w:lang w:val="en-US" w:eastAsia="zh-CN"/>
        </w:rPr>
        <w:t>.卫生健康（类）行政事业单位医疗（款）其他行政事业单位医疗支出（项）：指除行政单位医疗款项单列以外的其他用于行政事业单位医疗方面的支出。</w:t>
      </w:r>
    </w:p>
    <w:p w14:paraId="33CB0DE3">
      <w:pPr>
        <w:keepNext w:val="0"/>
        <w:keepLines w:val="0"/>
        <w:widowControl w:val="0"/>
        <w:suppressLineNumbers w:val="0"/>
        <w:spacing w:before="0" w:beforeAutospacing="0" w:after="0" w:afterAutospacing="0" w:line="600" w:lineRule="exact"/>
        <w:ind w:left="0" w:right="0" w:firstLine="640" w:firstLineChars="200"/>
        <w:jc w:val="both"/>
        <w:rPr>
          <w:rFonts w:ascii="Times New Roman" w:hAnsi="Times New Roman" w:eastAsia="方正仿宋_GBK" w:cs="仿宋"/>
          <w:bCs/>
          <w:kern w:val="2"/>
          <w:sz w:val="32"/>
          <w:szCs w:val="32"/>
        </w:rPr>
      </w:pPr>
      <w:r>
        <w:rPr>
          <w:rFonts w:hint="eastAsia" w:ascii="Times New Roman" w:hAnsi="Times New Roman" w:eastAsia="方正仿宋_GBK" w:cs="仿宋_GB2312"/>
          <w:kern w:val="2"/>
          <w:sz w:val="32"/>
          <w:szCs w:val="32"/>
          <w:lang w:val="en-US" w:eastAsia="zh-CN"/>
        </w:rPr>
        <w:t>19</w:t>
      </w:r>
      <w:r>
        <w:rPr>
          <w:rFonts w:ascii="Times New Roman" w:hAnsi="Times New Roman" w:eastAsia="方正仿宋_GBK" w:cs="仿宋_GB2312"/>
          <w:kern w:val="2"/>
          <w:sz w:val="32"/>
          <w:szCs w:val="32"/>
          <w:lang w:val="en-US" w:eastAsia="zh-CN"/>
        </w:rPr>
        <w:t>.农林水（类）农业农村（款）其他农业农村支出（项）：指农业农村款项单列以外的其他用于农业农村方面的支出。</w:t>
      </w:r>
      <w:r>
        <w:rPr>
          <w:rFonts w:ascii="Times New Roman" w:hAnsi="Times New Roman" w:eastAsia="方正仿宋_GBK" w:cs="仿宋"/>
          <w:color w:val="000000"/>
          <w:kern w:val="2"/>
          <w:sz w:val="32"/>
          <w:szCs w:val="32"/>
          <w:lang w:val="en-US" w:eastAsia="zh-CN"/>
        </w:rPr>
        <w:br w:type="textWrapping"/>
      </w:r>
      <w:r>
        <w:rPr>
          <w:rFonts w:ascii="Times New Roman" w:hAnsi="Times New Roman" w:eastAsia="方正仿宋_GBK" w:cs="仿宋"/>
          <w:color w:val="000000"/>
          <w:kern w:val="2"/>
          <w:sz w:val="32"/>
          <w:szCs w:val="32"/>
          <w:lang w:val="en-US" w:eastAsia="zh-CN"/>
        </w:rPr>
        <w:t xml:space="preserve"> </w:t>
      </w:r>
      <w:r>
        <w:rPr>
          <w:rFonts w:hint="eastAsia" w:ascii="Times New Roman" w:hAnsi="Times New Roman" w:eastAsia="方正仿宋_GBK" w:cs="仿宋"/>
          <w:color w:val="000000"/>
          <w:kern w:val="2"/>
          <w:sz w:val="32"/>
          <w:szCs w:val="32"/>
          <w:lang w:val="en-US" w:eastAsia="zh-CN"/>
        </w:rPr>
        <w:t xml:space="preserve"> </w:t>
      </w:r>
      <w:r>
        <w:rPr>
          <w:rFonts w:ascii="Times New Roman" w:hAnsi="Times New Roman" w:eastAsia="方正仿宋_GBK" w:cs="仿宋"/>
          <w:color w:val="000000"/>
          <w:kern w:val="2"/>
          <w:sz w:val="32"/>
          <w:szCs w:val="32"/>
          <w:lang w:val="en-US" w:eastAsia="zh-CN"/>
        </w:rPr>
        <w:t xml:space="preserve">  </w:t>
      </w:r>
      <w:r>
        <w:rPr>
          <w:rFonts w:hint="eastAsia" w:ascii="Times New Roman" w:hAnsi="Times New Roman" w:eastAsia="方正仿宋_GBK" w:cs="仿宋"/>
          <w:color w:val="000000"/>
          <w:kern w:val="2"/>
          <w:sz w:val="32"/>
          <w:szCs w:val="32"/>
          <w:lang w:val="en-US" w:eastAsia="zh-CN"/>
        </w:rPr>
        <w:t>20</w:t>
      </w:r>
      <w:r>
        <w:rPr>
          <w:rFonts w:ascii="Times New Roman" w:hAnsi="Times New Roman" w:eastAsia="方正仿宋_GBK" w:cs="仿宋"/>
          <w:color w:val="000000"/>
          <w:kern w:val="2"/>
          <w:sz w:val="32"/>
          <w:szCs w:val="32"/>
          <w:lang w:val="en-US" w:eastAsia="zh-CN"/>
        </w:rPr>
        <w:t>.</w:t>
      </w:r>
      <w:r>
        <w:rPr>
          <w:rFonts w:hint="eastAsia" w:ascii="Times New Roman" w:hAnsi="Times New Roman" w:eastAsia="方正仿宋_GBK" w:cs="方正仿宋_GBK"/>
          <w:b w:val="0"/>
          <w:i w:val="0"/>
          <w:color w:val="000000"/>
          <w:spacing w:val="0"/>
          <w:kern w:val="2"/>
          <w:sz w:val="32"/>
          <w:szCs w:val="32"/>
          <w:lang w:val="en-US" w:eastAsia="zh-CN"/>
        </w:rPr>
        <w:t>卫生健康支出（类）行政事业单位医疗（款）公务员医疗补助（项）</w:t>
      </w:r>
      <w:r>
        <w:rPr>
          <w:rFonts w:hint="eastAsia" w:ascii="Times New Roman" w:hAnsi="Times New Roman" w:eastAsia="方正仿宋_GBK" w:cs="方正仿宋_GBK"/>
          <w:b w:val="0"/>
          <w:i w:val="0"/>
          <w:spacing w:val="0"/>
          <w:kern w:val="2"/>
          <w:sz w:val="32"/>
          <w:szCs w:val="32"/>
          <w:lang w:val="en-US" w:eastAsia="zh-CN"/>
        </w:rPr>
        <w:t>：</w:t>
      </w:r>
      <w:r>
        <w:rPr>
          <w:rFonts w:ascii="Times New Roman" w:hAnsi="Times New Roman" w:eastAsia="方正仿宋_GBK" w:cs="仿宋"/>
          <w:color w:val="000000"/>
          <w:kern w:val="2"/>
          <w:sz w:val="32"/>
          <w:szCs w:val="32"/>
          <w:lang w:val="en-US" w:eastAsia="zh-CN"/>
        </w:rPr>
        <w:t>反映财政部门集中安排的公务员医疗补助经费。</w:t>
      </w:r>
    </w:p>
    <w:p w14:paraId="5603246B">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ascii="Times New Roman" w:hAnsi="Times New Roman" w:eastAsia="方正仿宋_GBK" w:cs="仿宋"/>
          <w:color w:val="000000"/>
          <w:kern w:val="2"/>
          <w:sz w:val="32"/>
          <w:szCs w:val="32"/>
          <w:lang w:val="en-US" w:eastAsia="zh-CN"/>
        </w:rPr>
      </w:pPr>
      <w:r>
        <w:rPr>
          <w:rFonts w:ascii="Times New Roman" w:hAnsi="Times New Roman" w:eastAsia="方正仿宋_GBK" w:cs="Times New Roman"/>
          <w:b w:val="0"/>
          <w:i w:val="0"/>
          <w:spacing w:val="0"/>
          <w:kern w:val="2"/>
          <w:sz w:val="32"/>
          <w:szCs w:val="32"/>
          <w:lang w:val="en-US" w:eastAsia="zh-CN"/>
        </w:rPr>
        <w:t>2</w:t>
      </w:r>
      <w:r>
        <w:rPr>
          <w:rFonts w:hint="eastAsia" w:ascii="Times New Roman" w:hAnsi="Times New Roman" w:eastAsia="方正仿宋_GBK" w:cs="Times New Roman"/>
          <w:b w:val="0"/>
          <w:i w:val="0"/>
          <w:spacing w:val="0"/>
          <w:kern w:val="2"/>
          <w:sz w:val="32"/>
          <w:szCs w:val="32"/>
          <w:lang w:val="en-US" w:eastAsia="zh-CN"/>
        </w:rPr>
        <w:t>1</w:t>
      </w:r>
      <w:r>
        <w:rPr>
          <w:rFonts w:ascii="Times New Roman" w:hAnsi="Times New Roman" w:eastAsia="方正仿宋_GBK" w:cs="Times New Roman"/>
          <w:b w:val="0"/>
          <w:i w:val="0"/>
          <w:spacing w:val="0"/>
          <w:kern w:val="2"/>
          <w:sz w:val="32"/>
          <w:szCs w:val="32"/>
          <w:lang w:val="en-US" w:eastAsia="zh-CN"/>
        </w:rPr>
        <w:t>.</w:t>
      </w:r>
      <w:r>
        <w:rPr>
          <w:rFonts w:hint="eastAsia" w:ascii="Times New Roman" w:hAnsi="Times New Roman" w:eastAsia="方正仿宋_GBK" w:cs="方正仿宋_GBK"/>
          <w:b w:val="0"/>
          <w:i w:val="0"/>
          <w:color w:val="000000"/>
          <w:spacing w:val="0"/>
          <w:kern w:val="2"/>
          <w:sz w:val="32"/>
          <w:szCs w:val="32"/>
          <w:lang w:val="en-US" w:eastAsia="zh-CN"/>
        </w:rPr>
        <w:t>住房保障支出（类）住房改革支出（款）住房公积金（项）</w:t>
      </w:r>
      <w:r>
        <w:rPr>
          <w:rFonts w:hint="eastAsia" w:ascii="Times New Roman" w:hAnsi="Times New Roman" w:eastAsia="方正仿宋_GBK" w:cs="方正仿宋_GBK"/>
          <w:b w:val="0"/>
          <w:i w:val="0"/>
          <w:spacing w:val="0"/>
          <w:kern w:val="2"/>
          <w:sz w:val="32"/>
          <w:szCs w:val="32"/>
          <w:lang w:val="en-US" w:eastAsia="zh-CN"/>
        </w:rPr>
        <w:t>：</w:t>
      </w:r>
      <w:r>
        <w:rPr>
          <w:rFonts w:ascii="Times New Roman" w:hAnsi="Times New Roman" w:eastAsia="方正仿宋_GBK" w:cs="仿宋"/>
          <w:color w:val="000000"/>
          <w:kern w:val="2"/>
          <w:sz w:val="32"/>
          <w:szCs w:val="32"/>
          <w:lang w:val="en-US" w:eastAsia="zh-CN"/>
        </w:rPr>
        <w:t xml:space="preserve"> 反映行政事业单位按人力资源和社会保障部、财政部规定的基本工资和津贴补贴以及规定比例为职工缴纳的住房公积金。</w:t>
      </w:r>
    </w:p>
    <w:p w14:paraId="4E75A19D">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ascii="Times New Roman" w:hAnsi="Times New Roman" w:eastAsia="方正仿宋_GBK"/>
        </w:rPr>
      </w:pPr>
      <w:r>
        <w:rPr>
          <w:rFonts w:hint="eastAsia" w:ascii="Times New Roman" w:hAnsi="Times New Roman" w:eastAsia="方正仿宋_GBK" w:cs="仿宋_GB2312"/>
          <w:kern w:val="2"/>
          <w:sz w:val="32"/>
          <w:szCs w:val="32"/>
          <w:lang w:val="en-US" w:eastAsia="zh-CN"/>
        </w:rPr>
        <w:t>22.其他</w:t>
      </w:r>
      <w:r>
        <w:rPr>
          <w:rFonts w:ascii="Times New Roman" w:hAnsi="Times New Roman" w:eastAsia="方正仿宋_GBK" w:cs="仿宋_GB2312"/>
          <w:kern w:val="2"/>
          <w:sz w:val="32"/>
          <w:szCs w:val="32"/>
          <w:lang w:val="en-US" w:eastAsia="zh-CN"/>
        </w:rPr>
        <w:t>（类）</w:t>
      </w:r>
      <w:r>
        <w:rPr>
          <w:rFonts w:hint="eastAsia" w:ascii="Times New Roman" w:hAnsi="Times New Roman" w:eastAsia="方正仿宋_GBK" w:cs="仿宋_GB2312"/>
          <w:kern w:val="2"/>
          <w:sz w:val="32"/>
          <w:szCs w:val="32"/>
          <w:lang w:val="en-US" w:eastAsia="zh-CN"/>
        </w:rPr>
        <w:t>其他支出</w:t>
      </w:r>
      <w:r>
        <w:rPr>
          <w:rFonts w:ascii="Times New Roman" w:hAnsi="Times New Roman" w:eastAsia="方正仿宋_GBK" w:cs="仿宋_GB2312"/>
          <w:kern w:val="2"/>
          <w:sz w:val="32"/>
          <w:szCs w:val="32"/>
          <w:lang w:val="en-US" w:eastAsia="zh-CN"/>
        </w:rPr>
        <w:t>（款）</w:t>
      </w:r>
      <w:r>
        <w:rPr>
          <w:rFonts w:hint="eastAsia" w:ascii="Times New Roman" w:hAnsi="Times New Roman" w:eastAsia="方正仿宋_GBK" w:cs="仿宋_GB2312"/>
          <w:kern w:val="2"/>
          <w:sz w:val="32"/>
          <w:szCs w:val="32"/>
          <w:lang w:val="en-US" w:eastAsia="zh-CN"/>
        </w:rPr>
        <w:t>其他</w:t>
      </w:r>
      <w:r>
        <w:rPr>
          <w:rFonts w:ascii="Times New Roman" w:hAnsi="Times New Roman" w:eastAsia="方正仿宋_GBK" w:cs="仿宋_GB2312"/>
          <w:kern w:val="2"/>
          <w:sz w:val="32"/>
          <w:szCs w:val="32"/>
          <w:lang w:val="en-US" w:eastAsia="zh-CN"/>
        </w:rPr>
        <w:t>支出（项）：</w:t>
      </w:r>
      <w:r>
        <w:rPr>
          <w:rFonts w:hint="eastAsia" w:ascii="Times New Roman" w:hAnsi="Times New Roman" w:eastAsia="方正仿宋_GBK" w:cs="仿宋_GB2312"/>
          <w:kern w:val="2"/>
          <w:sz w:val="32"/>
          <w:szCs w:val="32"/>
          <w:lang w:val="en-US" w:eastAsia="zh-CN"/>
        </w:rPr>
        <w:t>指其他不能划分到具体功能科目中的支出。</w:t>
      </w:r>
    </w:p>
    <w:p w14:paraId="6B2729F4">
      <w:pPr>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23.基本支出：指为保障机构正常运转、完成日常工作任务而发生的人员支出和公用支出。</w:t>
      </w:r>
    </w:p>
    <w:p w14:paraId="7C6F9F83">
      <w:pPr>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 xml:space="preserve">24.项目支出：指在基本支出之外为完成特定行政任务和事业发展目标所发生的支出。 </w:t>
      </w:r>
    </w:p>
    <w:p w14:paraId="0D152E9F">
      <w:pPr>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25.经营支出：指事业单位在专业业务活动及其辅助活动之外开展非独立核算经营活动发生的支出。</w:t>
      </w:r>
    </w:p>
    <w:p w14:paraId="5EF645EF">
      <w:pPr>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26.“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171256A">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27.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90990BC">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7E0DF67E">
      <w:pPr>
        <w:keepNext w:val="0"/>
        <w:keepLines w:val="0"/>
        <w:pageBreakBefore w:val="0"/>
        <w:widowControl w:val="0"/>
        <w:kinsoku/>
        <w:wordWrap/>
        <w:overflowPunct/>
        <w:topLinePunct w:val="0"/>
        <w:autoSpaceDE/>
        <w:autoSpaceDN/>
        <w:bidi w:val="0"/>
        <w:spacing w:line="240" w:lineRule="auto"/>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3"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4" w:name="_Toc15396618"/>
    </w:p>
    <w:p w14:paraId="74A36CE4">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53"/>
      <w:bookmarkEnd w:id="54"/>
      <w:bookmarkStart w:id="55" w:name="_Toc15396619"/>
    </w:p>
    <w:p w14:paraId="44A7EDAB">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p>
    <w:p w14:paraId="40385C49">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5"/>
    </w:p>
    <w:p w14:paraId="49EA1794">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bookmarkStart w:id="56" w:name="_Toc15396620"/>
      <w:r>
        <w:rPr>
          <w:rFonts w:hint="eastAsia" w:ascii="Times New Roman" w:hAnsi="Times New Roman" w:eastAsia="仿宋_GB2312" w:cs="仿宋_GB2312"/>
          <w:color w:val="auto"/>
          <w:sz w:val="32"/>
          <w:szCs w:val="32"/>
          <w:highlight w:val="none"/>
        </w:rPr>
        <w:t>二、收入决算表</w:t>
      </w:r>
      <w:bookmarkEnd w:id="56"/>
    </w:p>
    <w:p w14:paraId="05DEFFDA">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bookmarkStart w:id="57" w:name="_Toc15396621"/>
      <w:r>
        <w:rPr>
          <w:rFonts w:hint="eastAsia" w:ascii="Times New Roman" w:hAnsi="Times New Roman" w:eastAsia="仿宋_GB2312" w:cs="仿宋_GB2312"/>
          <w:color w:val="auto"/>
          <w:sz w:val="32"/>
          <w:szCs w:val="32"/>
          <w:highlight w:val="none"/>
        </w:rPr>
        <w:t>三、支出决算表</w:t>
      </w:r>
      <w:bookmarkEnd w:id="57"/>
    </w:p>
    <w:p w14:paraId="307AE276">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bookmarkStart w:id="58" w:name="_Toc15396622"/>
      <w:r>
        <w:rPr>
          <w:rFonts w:hint="eastAsia" w:ascii="Times New Roman" w:hAnsi="Times New Roman" w:eastAsia="仿宋_GB2312" w:cs="仿宋_GB2312"/>
          <w:color w:val="auto"/>
          <w:sz w:val="32"/>
          <w:szCs w:val="32"/>
          <w:highlight w:val="none"/>
        </w:rPr>
        <w:t>四、财政拨款收入支出决算总表</w:t>
      </w:r>
      <w:bookmarkEnd w:id="58"/>
    </w:p>
    <w:p w14:paraId="238CB0D6">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bookmarkStart w:id="59" w:name="_Toc15396623"/>
      <w:r>
        <w:rPr>
          <w:rFonts w:hint="eastAsia" w:ascii="Times New Roman" w:hAnsi="Times New Roman" w:eastAsia="仿宋_GB2312" w:cs="仿宋_GB2312"/>
          <w:color w:val="auto"/>
          <w:sz w:val="32"/>
          <w:szCs w:val="32"/>
          <w:highlight w:val="none"/>
        </w:rPr>
        <w:t>五、财政拨款支出决算明细表</w:t>
      </w:r>
      <w:bookmarkEnd w:id="59"/>
      <w:bookmarkStart w:id="60" w:name="_Toc15396624"/>
    </w:p>
    <w:p w14:paraId="43EA1276">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0"/>
    </w:p>
    <w:p w14:paraId="181BD034">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bookmarkStart w:id="61" w:name="_Toc15396625"/>
      <w:r>
        <w:rPr>
          <w:rFonts w:hint="eastAsia" w:ascii="Times New Roman" w:hAnsi="Times New Roman" w:eastAsia="仿宋_GB2312" w:cs="仿宋_GB2312"/>
          <w:color w:val="auto"/>
          <w:sz w:val="32"/>
          <w:szCs w:val="32"/>
          <w:highlight w:val="none"/>
        </w:rPr>
        <w:t>七、一般公共预算财政拨款支出决算明细表</w:t>
      </w:r>
      <w:bookmarkEnd w:id="61"/>
    </w:p>
    <w:p w14:paraId="2C466A6F">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bookmarkStart w:id="62" w:name="_Toc15396626"/>
      <w:r>
        <w:rPr>
          <w:rFonts w:hint="eastAsia" w:ascii="Times New Roman" w:hAnsi="Times New Roman" w:eastAsia="仿宋_GB2312" w:cs="仿宋_GB2312"/>
          <w:color w:val="auto"/>
          <w:sz w:val="32"/>
          <w:szCs w:val="32"/>
          <w:highlight w:val="none"/>
        </w:rPr>
        <w:t>八、一般公共预算财政拨款基本支出决算表</w:t>
      </w:r>
      <w:bookmarkEnd w:id="62"/>
    </w:p>
    <w:p w14:paraId="3ADF4659">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bookmarkStart w:id="63" w:name="_Toc15396627"/>
      <w:r>
        <w:rPr>
          <w:rFonts w:hint="eastAsia" w:ascii="Times New Roman" w:hAnsi="Times New Roman" w:eastAsia="仿宋_GB2312" w:cs="仿宋_GB2312"/>
          <w:color w:val="auto"/>
          <w:sz w:val="32"/>
          <w:szCs w:val="32"/>
          <w:highlight w:val="none"/>
        </w:rPr>
        <w:t>九、一般公共预算财政拨款项目支出决算表</w:t>
      </w:r>
      <w:bookmarkEnd w:id="63"/>
    </w:p>
    <w:p w14:paraId="5C82896F">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bookmarkStart w:id="64" w:name="_Toc15396628"/>
      <w:r>
        <w:rPr>
          <w:rFonts w:hint="eastAsia" w:ascii="Times New Roman" w:hAnsi="Times New Roman" w:eastAsia="仿宋_GB2312" w:cs="仿宋_GB2312"/>
          <w:color w:val="auto"/>
          <w:sz w:val="32"/>
          <w:szCs w:val="32"/>
          <w:highlight w:val="none"/>
        </w:rPr>
        <w:t>十、</w:t>
      </w:r>
      <w:bookmarkEnd w:id="64"/>
      <w:r>
        <w:rPr>
          <w:rFonts w:hint="eastAsia" w:ascii="Times New Roman" w:hAnsi="Times New Roman" w:eastAsia="仿宋_GB2312" w:cs="仿宋_GB2312"/>
          <w:color w:val="auto"/>
          <w:sz w:val="32"/>
          <w:szCs w:val="32"/>
          <w:highlight w:val="none"/>
        </w:rPr>
        <w:t>政府性基金预算财政拨款收入支出决算表</w:t>
      </w:r>
    </w:p>
    <w:p w14:paraId="4D81B1A5">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bookmarkStart w:id="65" w:name="_Toc15396629"/>
      <w:r>
        <w:rPr>
          <w:rFonts w:hint="eastAsia" w:ascii="Times New Roman" w:hAnsi="Times New Roman" w:eastAsia="仿宋_GB2312" w:cs="仿宋_GB2312"/>
          <w:color w:val="auto"/>
          <w:sz w:val="32"/>
          <w:szCs w:val="32"/>
          <w:highlight w:val="none"/>
        </w:rPr>
        <w:t>十一、</w:t>
      </w:r>
      <w:bookmarkEnd w:id="6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1164B2F6">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bookmarkStart w:id="66" w:name="_Toc15396630"/>
      <w:r>
        <w:rPr>
          <w:rFonts w:hint="eastAsia" w:ascii="Times New Roman" w:hAnsi="Times New Roman" w:eastAsia="仿宋_GB2312" w:cs="仿宋_GB2312"/>
          <w:color w:val="auto"/>
          <w:sz w:val="32"/>
          <w:szCs w:val="32"/>
          <w:highlight w:val="none"/>
        </w:rPr>
        <w:t>十二、</w:t>
      </w:r>
      <w:bookmarkEnd w:id="66"/>
      <w:r>
        <w:rPr>
          <w:rFonts w:hint="eastAsia" w:ascii="Times New Roman" w:hAnsi="Times New Roman" w:eastAsia="仿宋_GB2312" w:cs="仿宋_GB2312"/>
          <w:color w:val="auto"/>
          <w:sz w:val="32"/>
          <w:szCs w:val="32"/>
          <w:highlight w:val="none"/>
          <w:lang w:eastAsia="zh-CN"/>
        </w:rPr>
        <w:t>国有资本经营预算财政拨款支出决算表</w:t>
      </w:r>
    </w:p>
    <w:p w14:paraId="3014E331">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lang w:eastAsia="zh-CN"/>
        </w:rPr>
      </w:pPr>
      <w:bookmarkStart w:id="67" w:name="_Toc15396631"/>
      <w:r>
        <w:rPr>
          <w:rFonts w:hint="eastAsia" w:ascii="Times New Roman" w:hAnsi="Times New Roman" w:eastAsia="仿宋_GB2312" w:cs="仿宋_GB2312"/>
          <w:color w:val="auto"/>
          <w:sz w:val="32"/>
          <w:szCs w:val="32"/>
          <w:highlight w:val="none"/>
        </w:rPr>
        <w:t>十三、</w:t>
      </w:r>
      <w:bookmarkEnd w:id="67"/>
      <w:r>
        <w:rPr>
          <w:rFonts w:hint="eastAsia" w:ascii="Times New Roman" w:hAnsi="Times New Roman" w:eastAsia="仿宋_GB2312" w:cs="仿宋_GB2312"/>
          <w:color w:val="auto"/>
          <w:sz w:val="32"/>
          <w:szCs w:val="32"/>
          <w:highlight w:val="none"/>
          <w:lang w:eastAsia="zh-CN"/>
        </w:rPr>
        <w:t>财政拨款“三公”经费支出决算表</w:t>
      </w:r>
    </w:p>
    <w:p w14:paraId="46F3DC9C">
      <w:pPr>
        <w:pageBreakBefore w:val="0"/>
        <w:kinsoku/>
        <w:wordWrap/>
        <w:overflowPunct/>
        <w:topLinePunct w:val="0"/>
        <w:autoSpaceDE/>
        <w:autoSpaceDN/>
        <w:bidi w:val="0"/>
        <w:spacing w:line="240" w:lineRule="auto"/>
        <w:textAlignment w:val="auto"/>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0000000000000000000"/>
    <w:charset w:val="01"/>
    <w:family w:val="auto"/>
    <w:pitch w:val="default"/>
    <w:sig w:usb0="00000000" w:usb1="00000000" w:usb2="00000000" w:usb3="00000000" w:csb0="00000000" w:csb1="00000000"/>
  </w:font>
  <w:font w:name="宋体">
    <w:altName w:val="方正书宋_GBK"/>
    <w:panose1 w:val="00000000000000000000"/>
    <w:charset w:val="01"/>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
    <w:altName w:val="国标仿宋"/>
    <w:panose1 w:val="00000000000000000000"/>
    <w:charset w:val="00"/>
    <w:family w:val="roman"/>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07927">
    <w:pPr>
      <w:pStyle w:val="10"/>
      <w:jc w:val="center"/>
    </w:pPr>
  </w:p>
  <w:p w14:paraId="558F27B8">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AB2DF">
    <w:pPr>
      <w:pStyle w:val="10"/>
      <w:jc w:val="center"/>
    </w:pPr>
  </w:p>
  <w:p w14:paraId="7EE8B06A">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6A606">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9EBB52">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79EBB52">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A9256">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77390"/>
    <w:rsid w:val="07DFD8BA"/>
    <w:rsid w:val="08DB07E4"/>
    <w:rsid w:val="09867E8F"/>
    <w:rsid w:val="0A2032A3"/>
    <w:rsid w:val="0BF346A0"/>
    <w:rsid w:val="0C6C4794"/>
    <w:rsid w:val="0CA8290A"/>
    <w:rsid w:val="0D35B1ED"/>
    <w:rsid w:val="0D815336"/>
    <w:rsid w:val="0DE07E2B"/>
    <w:rsid w:val="0E016F15"/>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970A43"/>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4DF325D"/>
    <w:rsid w:val="35957DBF"/>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8F7316"/>
    <w:rsid w:val="3CEBA265"/>
    <w:rsid w:val="3CFB49AC"/>
    <w:rsid w:val="3D98207C"/>
    <w:rsid w:val="3D9B0D99"/>
    <w:rsid w:val="3DEE7CF3"/>
    <w:rsid w:val="3DF02244"/>
    <w:rsid w:val="3E78745D"/>
    <w:rsid w:val="3F6B149F"/>
    <w:rsid w:val="3FF4CAE0"/>
    <w:rsid w:val="3FF7B227"/>
    <w:rsid w:val="40E54C45"/>
    <w:rsid w:val="43A407DF"/>
    <w:rsid w:val="44515BEA"/>
    <w:rsid w:val="44E268DA"/>
    <w:rsid w:val="453F7E5B"/>
    <w:rsid w:val="461E5424"/>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0C7614F"/>
    <w:rsid w:val="53083A92"/>
    <w:rsid w:val="537E6D0A"/>
    <w:rsid w:val="53AF27A2"/>
    <w:rsid w:val="53F74C96"/>
    <w:rsid w:val="56E47B74"/>
    <w:rsid w:val="57BD3DD4"/>
    <w:rsid w:val="58B60286"/>
    <w:rsid w:val="599012CA"/>
    <w:rsid w:val="5AF92295"/>
    <w:rsid w:val="5B5E00EE"/>
    <w:rsid w:val="5BDD79E6"/>
    <w:rsid w:val="5BF561CA"/>
    <w:rsid w:val="5BFF5DFC"/>
    <w:rsid w:val="5CD71FC4"/>
    <w:rsid w:val="5D1F11B5"/>
    <w:rsid w:val="5DAE1B18"/>
    <w:rsid w:val="5DE7D9E5"/>
    <w:rsid w:val="5ECEC941"/>
    <w:rsid w:val="5F493CB7"/>
    <w:rsid w:val="5FBF9FF3"/>
    <w:rsid w:val="5FCD4E2C"/>
    <w:rsid w:val="5FD15F49"/>
    <w:rsid w:val="5FEF394A"/>
    <w:rsid w:val="5FF67715"/>
    <w:rsid w:val="61B9240A"/>
    <w:rsid w:val="62BF3928"/>
    <w:rsid w:val="647F5392"/>
    <w:rsid w:val="664B1D71"/>
    <w:rsid w:val="67AA3209"/>
    <w:rsid w:val="681C4F0D"/>
    <w:rsid w:val="69046D0F"/>
    <w:rsid w:val="698D0931"/>
    <w:rsid w:val="6A993CED"/>
    <w:rsid w:val="6B053271"/>
    <w:rsid w:val="6BCE6674"/>
    <w:rsid w:val="6C4A05C8"/>
    <w:rsid w:val="6C8742B8"/>
    <w:rsid w:val="6C8A170F"/>
    <w:rsid w:val="6CB54609"/>
    <w:rsid w:val="6CC42B5A"/>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B036F7"/>
    <w:rsid w:val="72233669"/>
    <w:rsid w:val="72734D90"/>
    <w:rsid w:val="7332FE48"/>
    <w:rsid w:val="73AB61DA"/>
    <w:rsid w:val="73AD73D5"/>
    <w:rsid w:val="73B6EB34"/>
    <w:rsid w:val="73FA497D"/>
    <w:rsid w:val="744731E5"/>
    <w:rsid w:val="74527205"/>
    <w:rsid w:val="74BBD01D"/>
    <w:rsid w:val="74ED5379"/>
    <w:rsid w:val="74FC2395"/>
    <w:rsid w:val="75CD1A5C"/>
    <w:rsid w:val="75DEEEC2"/>
    <w:rsid w:val="76C07268"/>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9F0835D5"/>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5D3F51"/>
    <w:rsid w:val="DF6F9789"/>
    <w:rsid w:val="DFBFBDBF"/>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rPr>
      <w:sz w:val="24"/>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2"/>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正文-公1"/>
    <w:basedOn w:val="37"/>
    <w:next w:val="1"/>
    <w:qFormat/>
    <w:uiPriority w:val="0"/>
    <w:pPr>
      <w:ind w:firstLine="200" w:firstLineChars="200"/>
    </w:pPr>
  </w:style>
  <w:style w:type="paragraph" w:customStyle="1" w:styleId="37">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6"/>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strRef>
              <c:f>Sheet1!$A$2:$A$3</c:f>
              <c:strCache>
                <c:ptCount val="2"/>
                <c:pt idx="0">
                  <c:v>收入决算数</c:v>
                </c:pt>
                <c:pt idx="1">
                  <c:v>支出决算数</c:v>
                </c:pt>
              </c:strCache>
            </c:strRef>
          </c:cat>
          <c:val>
            <c:numRef>
              <c:f>Sheet1!$B$2:$B$3</c:f>
              <c:numCache>
                <c:formatCode>General</c:formatCode>
                <c:ptCount val="2"/>
                <c:pt idx="0">
                  <c:v>0</c:v>
                </c:pt>
                <c:pt idx="1">
                  <c:v>0</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strRef>
              <c:f>Sheet1!$A$2:$A$3</c:f>
              <c:strCache>
                <c:ptCount val="2"/>
                <c:pt idx="0">
                  <c:v>收入决算数</c:v>
                </c:pt>
                <c:pt idx="1">
                  <c:v>支出决算数</c:v>
                </c:pt>
              </c:strCache>
            </c:strRef>
          </c:cat>
          <c:val>
            <c:numRef>
              <c:f>Sheet1!$C$2:$C$3</c:f>
              <c:numCache>
                <c:formatCode>General</c:formatCode>
                <c:ptCount val="2"/>
                <c:pt idx="0">
                  <c:v>242.83</c:v>
                </c:pt>
                <c:pt idx="1">
                  <c:v>242.83</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收入决算数</c:v>
                </c:pt>
                <c:pt idx="1">
                  <c:v>支出决算数</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609691789"/>
        <c:axId val="514701956"/>
      </c:barChart>
      <c:catAx>
        <c:axId val="60969178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4701956"/>
        <c:crosses val="autoZero"/>
        <c:auto val="1"/>
        <c:lblAlgn val="ctr"/>
        <c:lblOffset val="100"/>
        <c:noMultiLvlLbl val="0"/>
      </c:catAx>
      <c:valAx>
        <c:axId val="51470195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9691789"/>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Entry>
      <c:legendEntry>
        <c:idx val="2"/>
        <c:delete val="1"/>
      </c:legendEntry>
      <c:layout/>
      <c:overlay val="0"/>
      <c:spPr>
        <a:noFill/>
        <a:ln>
          <a:noFill/>
        </a:ln>
        <a:effectLst/>
      </c:spPr>
      <c:txPr>
        <a:bodyPr rot="0" spcFirstLastPara="0"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e6c819e-63d6-45a3-be04-270e6fab628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
                </c:pt>
              </c:strCache>
            </c:strRef>
          </c:tx>
          <c:spPr>
            <a:scene3d>
              <a:camera prst="orthographicFront"/>
              <a:lightRig rig="threePt" dir="t"/>
            </a:scene3d>
            <a:sp3d contourW="9525"/>
          </c:spPr>
          <c:explosion val="0"/>
          <c:dPt>
            <c:idx val="0"/>
            <c:bubble3D val="0"/>
            <c:spPr>
              <a:solidFill>
                <a:schemeClr val="accent1"/>
              </a:solidFill>
              <a:ln w="19050">
                <a:solidFill>
                  <a:schemeClr val="bg1"/>
                </a:solidFill>
              </a:ln>
              <a:effectLst/>
              <a:scene3d>
                <a:camera prst="orthographicFront"/>
                <a:lightRig rig="threePt" dir="t"/>
              </a:scene3d>
              <a:sp3d contourW="9525"/>
            </c:spPr>
          </c:dPt>
          <c:dPt>
            <c:idx val="1"/>
            <c:bubble3D val="0"/>
            <c:spPr>
              <a:solidFill>
                <a:schemeClr val="accent2"/>
              </a:solidFill>
              <a:ln w="19050">
                <a:solidFill>
                  <a:schemeClr val="bg1"/>
                </a:solidFill>
              </a:ln>
              <a:effectLst/>
              <a:scene3d>
                <a:camera prst="orthographicFront"/>
                <a:lightRig rig="threePt" dir="t"/>
              </a:scene3d>
              <a:sp3d contourW="9525"/>
            </c:spPr>
          </c:dPt>
          <c:dLbls>
            <c:delete val="1"/>
          </c:dLbls>
          <c:cat>
            <c:strRef>
              <c:f>Sheet1!$A$2:$A$3</c:f>
              <c:strCache>
                <c:ptCount val="2"/>
                <c:pt idx="0">
                  <c:v>一般公共预算收入</c:v>
                </c:pt>
                <c:pt idx="1">
                  <c:v>政府性基金收入</c:v>
                </c:pt>
              </c:strCache>
            </c:strRef>
          </c:cat>
          <c:val>
            <c:numRef>
              <c:f>Sheet1!$B$2:$B$3</c:f>
              <c:numCache>
                <c:formatCode>General</c:formatCode>
                <c:ptCount val="2"/>
                <c:pt idx="0">
                  <c:v>242.83</c:v>
                </c:pt>
                <c:pt idx="1">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Entry>
      <c:layout>
        <c:manualLayout>
          <c:xMode val="edge"/>
          <c:yMode val="edge"/>
          <c:x val="0.310461464121769"/>
          <c:y val="0.0403739906502337"/>
          <c:w val="0.390070065233148"/>
          <c:h val="0.14980875478113"/>
        </c:manualLayout>
      </c:layout>
      <c:overlay val="0"/>
      <c:spPr>
        <a:noFill/>
        <a:ln>
          <a:noFill/>
        </a:ln>
        <a:effectLst/>
      </c:spPr>
      <c:txPr>
        <a:bodyPr rot="0" spcFirstLastPara="0"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b352083-d34e-41fd-bfe1-9668d9b6226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
                </c:pt>
              </c:strCache>
            </c:strRef>
          </c:tx>
          <c:spPr>
            <a:scene3d>
              <a:camera prst="orthographicFront"/>
              <a:lightRig rig="threePt" dir="t"/>
            </a:scene3d>
            <a:sp3d contourW="9525"/>
          </c:spPr>
          <c:explosion val="0"/>
          <c:dPt>
            <c:idx val="0"/>
            <c:bubble3D val="0"/>
            <c:spPr>
              <a:solidFill>
                <a:schemeClr val="accent1"/>
              </a:solidFill>
              <a:ln w="19050">
                <a:solidFill>
                  <a:schemeClr val="bg1"/>
                </a:solidFill>
              </a:ln>
              <a:effectLst/>
              <a:scene3d>
                <a:camera prst="orthographicFront"/>
                <a:lightRig rig="threePt" dir="t"/>
              </a:scene3d>
              <a:sp3d contourW="9525"/>
            </c:spPr>
          </c:dPt>
          <c:dPt>
            <c:idx val="1"/>
            <c:bubble3D val="0"/>
            <c:spPr>
              <a:solidFill>
                <a:schemeClr val="accent2"/>
              </a:solidFill>
              <a:ln w="19050">
                <a:solidFill>
                  <a:schemeClr val="bg1"/>
                </a:solidFill>
              </a:ln>
              <a:effectLst/>
              <a:scene3d>
                <a:camera prst="orthographicFront"/>
                <a:lightRig rig="threePt" dir="t"/>
              </a:scene3d>
              <a:sp3d contourW="9525"/>
            </c:spPr>
          </c:dPt>
          <c:dLbls>
            <c:delete val="1"/>
          </c:dLbls>
          <c:cat>
            <c:strRef>
              <c:f>Sheet1!$A$2:$A$3</c:f>
              <c:strCache>
                <c:ptCount val="2"/>
                <c:pt idx="0">
                  <c:v>基本支出</c:v>
                </c:pt>
                <c:pt idx="1">
                  <c:v>项目支出</c:v>
                </c:pt>
              </c:strCache>
            </c:strRef>
          </c:cat>
          <c:val>
            <c:numRef>
              <c:f>Sheet1!$B$2:$B$3</c:f>
              <c:numCache>
                <c:formatCode>General</c:formatCode>
                <c:ptCount val="2"/>
                <c:pt idx="0">
                  <c:v>52.88</c:v>
                </c:pt>
                <c:pt idx="1">
                  <c:v>189.95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14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14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14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05d39ff-b42e-4509-95d8-c1c826f2c20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strRef>
              <c:f>Sheet1!$A$2:$A$3</c:f>
              <c:strCache>
                <c:ptCount val="2"/>
                <c:pt idx="0">
                  <c:v>财政拨款收入</c:v>
                </c:pt>
                <c:pt idx="1">
                  <c:v>财政拨款支出</c:v>
                </c:pt>
              </c:strCache>
            </c:strRef>
          </c:cat>
          <c:val>
            <c:numRef>
              <c:f>Sheet1!$B$2:$B$3</c:f>
              <c:numCache>
                <c:formatCode>General</c:formatCode>
                <c:ptCount val="2"/>
                <c:pt idx="0">
                  <c:v>0</c:v>
                </c:pt>
                <c:pt idx="1">
                  <c:v>0</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strRef>
              <c:f>Sheet1!$A$2:$A$3</c:f>
              <c:strCache>
                <c:ptCount val="2"/>
                <c:pt idx="0">
                  <c:v>财政拨款收入</c:v>
                </c:pt>
                <c:pt idx="1">
                  <c:v>财政拨款支出</c:v>
                </c:pt>
              </c:strCache>
            </c:strRef>
          </c:cat>
          <c:val>
            <c:numRef>
              <c:f>Sheet1!$C$2:$C$3</c:f>
              <c:numCache>
                <c:formatCode>General</c:formatCode>
                <c:ptCount val="2"/>
                <c:pt idx="0">
                  <c:v>242.83</c:v>
                </c:pt>
                <c:pt idx="1">
                  <c:v>242.83</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财政拨款收入</c:v>
                </c:pt>
                <c:pt idx="1">
                  <c:v>财政拨款支出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71562329"/>
        <c:axId val="920862127"/>
      </c:barChart>
      <c:catAx>
        <c:axId val="7156232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0862127"/>
        <c:crosses val="autoZero"/>
        <c:auto val="1"/>
        <c:lblAlgn val="ctr"/>
        <c:lblOffset val="100"/>
        <c:noMultiLvlLbl val="0"/>
      </c:catAx>
      <c:valAx>
        <c:axId val="92086212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562329"/>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Entry>
      <c:legendEntry>
        <c:idx val="2"/>
        <c:delete val="1"/>
      </c:legendEntry>
      <c:layout>
        <c:manualLayout>
          <c:xMode val="edge"/>
          <c:yMode val="edge"/>
          <c:x val="0.323749697994685"/>
          <c:y val="0.862728431789205"/>
          <c:w val="0.278448900700652"/>
          <c:h val="0.108584785380365"/>
        </c:manualLayout>
      </c:layout>
      <c:overlay val="0"/>
      <c:spPr>
        <a:noFill/>
        <a:ln>
          <a:noFill/>
        </a:ln>
        <a:effectLst/>
      </c:spPr>
      <c:txPr>
        <a:bodyPr rot="0" spcFirstLastPara="0"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0b877b5-6516-43e6-944f-4505356533a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a:t>
            </a:r>
          </a:p>
        </c:rich>
      </c:tx>
      <c:layout>
        <c:manualLayout>
          <c:xMode val="edge"/>
          <c:yMode val="edge"/>
          <c:x val="0.254771683981638"/>
          <c:y val="0.0286867828304292"/>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numRef>
              <c:f>Sheet1!$A$2</c:f>
              <c:numCache>
                <c:formatCode>General</c:formatCode>
                <c:ptCount val="1"/>
              </c:numCache>
            </c:numRef>
          </c:cat>
          <c:val>
            <c:numRef>
              <c:f>Sheet1!$B$2</c:f>
              <c:numCache>
                <c:formatCode>General</c:formatCode>
                <c:ptCount val="1"/>
                <c:pt idx="0">
                  <c:v>0</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numRef>
              <c:f>Sheet1!$A$2</c:f>
              <c:numCache>
                <c:formatCode>General</c:formatCode>
                <c:ptCount val="1"/>
              </c:numCache>
            </c:numRef>
          </c:cat>
          <c:val>
            <c:numRef>
              <c:f>Sheet1!$C$2</c:f>
              <c:numCache>
                <c:formatCode>General</c:formatCode>
                <c:ptCount val="1"/>
                <c:pt idx="0">
                  <c:v>242.83</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numRef>
              <c:f>Sheet1!$A$2</c:f>
              <c:numCache>
                <c:formatCode>General</c:formatCode>
                <c:ptCount val="1"/>
              </c:numCache>
            </c:num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280070016"/>
        <c:axId val="869906804"/>
      </c:barChart>
      <c:catAx>
        <c:axId val="28007001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9906804"/>
        <c:crosses val="autoZero"/>
        <c:auto val="1"/>
        <c:lblAlgn val="ctr"/>
        <c:lblOffset val="100"/>
        <c:noMultiLvlLbl val="0"/>
      </c:catAx>
      <c:valAx>
        <c:axId val="86990680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0070016"/>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Entry>
      <c:legendEntry>
        <c:idx val="2"/>
        <c:delete val="1"/>
      </c:legendEntry>
      <c:layout>
        <c:manualLayout>
          <c:xMode val="edge"/>
          <c:yMode val="edge"/>
          <c:x val="0.347910123218169"/>
          <c:y val="0.874840628984275"/>
          <c:w val="0.281589755979705"/>
          <c:h val="0.0964725881852954"/>
        </c:manualLayout>
      </c:layout>
      <c:overlay val="0"/>
      <c:spPr>
        <a:noFill/>
        <a:ln>
          <a:noFill/>
        </a:ln>
        <a:effectLst/>
      </c:spPr>
      <c:txPr>
        <a:bodyPr rot="0" spcFirstLastPara="0"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944c5f7-5b5e-4455-a578-ed8b5d2f2fc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a:scene3d>
              <a:camera prst="orthographicFront"/>
              <a:lightRig rig="threePt" dir="t"/>
            </a:scene3d>
            <a:sp3d contourW="9525"/>
          </c:spPr>
          <c:explosion val="0"/>
          <c:dPt>
            <c:idx val="0"/>
            <c:bubble3D val="0"/>
            <c:spPr>
              <a:solidFill>
                <a:schemeClr val="accent1"/>
              </a:solidFill>
              <a:ln w="19050">
                <a:solidFill>
                  <a:schemeClr val="bg1"/>
                </a:solidFill>
              </a:ln>
              <a:effectLst/>
              <a:scene3d>
                <a:camera prst="orthographicFront"/>
                <a:lightRig rig="threePt" dir="t"/>
              </a:scene3d>
              <a:sp3d contourW="9525"/>
            </c:spPr>
          </c:dPt>
          <c:dPt>
            <c:idx val="1"/>
            <c:bubble3D val="0"/>
            <c:spPr>
              <a:solidFill>
                <a:schemeClr val="accent2"/>
              </a:solidFill>
              <a:ln w="19050">
                <a:solidFill>
                  <a:schemeClr val="bg1"/>
                </a:solidFill>
              </a:ln>
              <a:effectLst/>
              <a:scene3d>
                <a:camera prst="orthographicFront"/>
                <a:lightRig rig="threePt" dir="t"/>
              </a:scene3d>
              <a:sp3d contourW="9525"/>
            </c:spPr>
          </c:dPt>
          <c:dPt>
            <c:idx val="2"/>
            <c:bubble3D val="0"/>
            <c:spPr>
              <a:solidFill>
                <a:schemeClr val="accent3"/>
              </a:solidFill>
              <a:ln w="19050">
                <a:solidFill>
                  <a:schemeClr val="bg1"/>
                </a:solidFill>
              </a:ln>
              <a:effectLst/>
              <a:scene3d>
                <a:camera prst="orthographicFront"/>
                <a:lightRig rig="threePt" dir="t"/>
              </a:scene3d>
              <a:sp3d contourW="9525"/>
            </c:spPr>
          </c:dPt>
          <c:dPt>
            <c:idx val="3"/>
            <c:bubble3D val="0"/>
            <c:spPr>
              <a:solidFill>
                <a:schemeClr val="accent4"/>
              </a:solidFill>
              <a:ln w="19050">
                <a:solidFill>
                  <a:schemeClr val="bg1"/>
                </a:solidFill>
              </a:ln>
              <a:effectLst/>
              <a:scene3d>
                <a:camera prst="orthographicFront"/>
                <a:lightRig rig="threePt" dir="t"/>
              </a:scene3d>
              <a:sp3d contourW="9525"/>
            </c:spPr>
          </c:dPt>
          <c:dPt>
            <c:idx val="4"/>
            <c:bubble3D val="0"/>
            <c:spPr>
              <a:solidFill>
                <a:schemeClr val="accent5"/>
              </a:solidFill>
              <a:ln w="19050">
                <a:solidFill>
                  <a:schemeClr val="bg1"/>
                </a:solidFill>
              </a:ln>
              <a:effectLst/>
              <a:scene3d>
                <a:camera prst="orthographicFront"/>
                <a:lightRig rig="threePt" dir="t"/>
              </a:scene3d>
              <a:sp3d contourW="9525"/>
            </c:spPr>
          </c:dPt>
          <c:dPt>
            <c:idx val="5"/>
            <c:bubble3D val="0"/>
            <c:spPr>
              <a:solidFill>
                <a:schemeClr val="accent6"/>
              </a:solidFill>
              <a:ln w="19050">
                <a:solidFill>
                  <a:schemeClr val="bg1"/>
                </a:solidFill>
              </a:ln>
              <a:effectLst/>
              <a:scene3d>
                <a:camera prst="orthographicFront"/>
                <a:lightRig rig="threePt" dir="t"/>
              </a:scene3d>
              <a:sp3d contourW="9525"/>
            </c:spPr>
          </c:dPt>
          <c:dPt>
            <c:idx val="6"/>
            <c:bubble3D val="0"/>
            <c:spPr>
              <a:solidFill>
                <a:schemeClr val="accent1">
                  <a:lumMod val="60000"/>
                </a:schemeClr>
              </a:solidFill>
              <a:ln w="19050">
                <a:solidFill>
                  <a:schemeClr val="bg1"/>
                </a:solidFill>
              </a:ln>
              <a:effectLst/>
              <a:scene3d>
                <a:camera prst="orthographicFront"/>
                <a:lightRig rig="threePt" dir="t"/>
              </a:scene3d>
              <a:sp3d contourW="9525"/>
            </c:spPr>
          </c:dPt>
          <c:dLbls>
            <c:delete val="1"/>
          </c:dLbls>
          <c:cat>
            <c:strRef>
              <c:f>Sheet1!$A$2:$A$8</c:f>
              <c:strCache>
                <c:ptCount val="7"/>
                <c:pt idx="0">
                  <c:v>一般公共预算支出</c:v>
                </c:pt>
                <c:pt idx="1">
                  <c:v>文化旅游体育与传媒支出</c:v>
                </c:pt>
                <c:pt idx="2">
                  <c:v>社会保障和就业支出</c:v>
                </c:pt>
                <c:pt idx="3">
                  <c:v>卫生健康支出</c:v>
                </c:pt>
                <c:pt idx="4">
                  <c:v>住房保障支出</c:v>
                </c:pt>
                <c:pt idx="5">
                  <c:v>农林水支出</c:v>
                </c:pt>
                <c:pt idx="6">
                  <c:v>其他支出</c:v>
                </c:pt>
              </c:strCache>
            </c:strRef>
          </c:cat>
          <c:val>
            <c:numRef>
              <c:f>Sheet1!$B$2:$B$8</c:f>
              <c:numCache>
                <c:formatCode>General</c:formatCode>
                <c:ptCount val="7"/>
                <c:pt idx="0">
                  <c:v>242.83</c:v>
                </c:pt>
                <c:pt idx="1">
                  <c:v>0</c:v>
                </c:pt>
                <c:pt idx="2">
                  <c:v>0</c:v>
                </c:pt>
                <c:pt idx="3">
                  <c:v>0</c:v>
                </c:pt>
                <c:pt idx="4">
                  <c:v>0</c:v>
                </c:pt>
                <c:pt idx="5">
                  <c:v>0</c:v>
                </c:pt>
                <c:pt idx="6">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b604c2e-7186-499d-911e-1097ac09ca1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Sheet1!$A$2:$A$3</c:f>
              <c:strCache>
                <c:ptCount val="2"/>
                <c:pt idx="0">
                  <c:v>公务用车及运行维护费</c:v>
                </c:pt>
                <c:pt idx="1">
                  <c:v>公务接待费</c:v>
                </c:pt>
              </c:strCache>
            </c:strRef>
          </c:cat>
          <c:val>
            <c:numRef>
              <c:f>Sheet1!$B$2:$B$3</c:f>
              <c:numCache>
                <c:formatCode>General</c:formatCode>
                <c:ptCount val="2"/>
                <c:pt idx="0">
                  <c:v>0</c:v>
                </c:pt>
                <c:pt idx="1">
                  <c:v>0.23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105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1050" b="0" i="0" u="none" strike="noStrike" kern="1200" baseline="0">
                <a:solidFill>
                  <a:schemeClr val="tx1">
                    <a:lumMod val="65000"/>
                    <a:lumOff val="35000"/>
                  </a:schemeClr>
                </a:solidFill>
                <a:latin typeface="+mn-lt"/>
                <a:ea typeface="+mn-ea"/>
                <a:cs typeface="+mn-cs"/>
              </a:defRPr>
            </a:pPr>
          </a:p>
        </c:txPr>
      </c:legendEntry>
      <c:layout>
        <c:manualLayout>
          <c:xMode val="edge"/>
          <c:yMode val="edge"/>
          <c:x val="0.305025368446485"/>
          <c:y val="0.060135996600085"/>
          <c:w val="0.390070065233148"/>
          <c:h val="0.144921376965576"/>
        </c:manualLayout>
      </c:layout>
      <c:overlay val="0"/>
      <c:spPr>
        <a:noFill/>
        <a:ln>
          <a:noFill/>
        </a:ln>
        <a:effectLst/>
      </c:spPr>
      <c:txPr>
        <a:bodyPr rot="0" spcFirstLastPara="0" vertOverflow="ellipsis" vert="horz" wrap="square" anchor="ctr" anchorCtr="1"/>
        <a:lstStyle/>
        <a:p>
          <a:pPr>
            <a:defRPr lang="zh-CN" sz="105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82b50f4-e1e7-4916-abbd-0c645dea4c3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5956</Words>
  <Characters>6325</Characters>
  <Lines>61</Lines>
  <Paragraphs>17</Paragraphs>
  <TotalTime>7</TotalTime>
  <ScaleCrop>false</ScaleCrop>
  <LinksUpToDate>false</LinksUpToDate>
  <CharactersWithSpaces>6350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2026-08-03T17:27:00Z</cp:lastPrinted>
  <dcterms:modified xsi:type="dcterms:W3CDTF">2026-09-17T16:27:36Z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EA50A8A24D744B1AB5585B4A4D976BB3_13</vt:lpwstr>
  </property>
  <property fmtid="{D5CDD505-2E9C-101B-9397-08002B2CF9AE}" pid="4" name="KSOTemplateDocerSaveRecord">
    <vt:lpwstr>eyJoZGlkIjoiNmQ3YzMyODc2MzAxNTU1ZjkxYmU4MjRlNjc1OTA4YWYiLCJ1c2VySWQiOiIxNjkzMjU1MzgzIn0=</vt:lpwstr>
  </property>
</Properties>
</file>