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5D85B">
      <w:pPr>
        <w:pStyle w:val="2"/>
        <w:keepNext w:val="0"/>
        <w:pageBreakBefore w:val="0"/>
        <w:widowControl w:val="0"/>
        <w:kinsoku/>
        <w:wordWrap/>
        <w:overflowPunct/>
        <w:topLinePunct w:val="0"/>
        <w:autoSpaceDN/>
        <w:bidi w:val="0"/>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06267"/>
      <w:bookmarkStart w:id="2" w:name="_Toc15378441"/>
      <w:bookmarkStart w:id="3" w:name="_Toc15396475"/>
      <w:bookmarkStart w:id="4" w:name="_Toc15377425"/>
      <w:bookmarkStart w:id="5" w:name="_Toc15396597"/>
    </w:p>
    <w:p w14:paraId="1841BFD7">
      <w:pPr>
        <w:pStyle w:val="2"/>
        <w:keepNext w:val="0"/>
        <w:pageBreakBefore w:val="0"/>
        <w:widowControl w:val="0"/>
        <w:kinsoku/>
        <w:wordWrap/>
        <w:overflowPunct/>
        <w:topLinePunct w:val="0"/>
        <w:autoSpaceDN/>
        <w:bidi w:val="0"/>
        <w:rPr>
          <w:rFonts w:hint="eastAsia" w:ascii="Times New Roman" w:hAnsi="Times New Roman" w:eastAsia="方正小标宋简体" w:cs="Times New Roman"/>
          <w:color w:val="auto"/>
          <w:kern w:val="2"/>
          <w:sz w:val="72"/>
          <w:szCs w:val="72"/>
          <w:highlight w:val="none"/>
          <w:lang w:val="en-US" w:eastAsia="zh-CN" w:bidi="ar-SA"/>
        </w:rPr>
      </w:pPr>
    </w:p>
    <w:p w14:paraId="43D93E6F">
      <w:pPr>
        <w:pStyle w:val="2"/>
        <w:keepNext w:val="0"/>
        <w:pageBreakBefore w:val="0"/>
        <w:widowControl w:val="0"/>
        <w:kinsoku/>
        <w:wordWrap/>
        <w:overflowPunct/>
        <w:topLinePunct w:val="0"/>
        <w:autoSpaceDN/>
        <w:bidi w:val="0"/>
        <w:rPr>
          <w:rFonts w:hint="eastAsia" w:ascii="Times New Roman" w:hAnsi="Times New Roman" w:eastAsia="方正小标宋简体" w:cs="Times New Roman"/>
          <w:color w:val="auto"/>
          <w:kern w:val="2"/>
          <w:sz w:val="72"/>
          <w:szCs w:val="72"/>
          <w:highlight w:val="none"/>
          <w:lang w:val="en-US" w:eastAsia="zh-CN" w:bidi="ar-SA"/>
        </w:rPr>
      </w:pPr>
    </w:p>
    <w:p w14:paraId="508EDF68">
      <w:pPr>
        <w:pStyle w:val="15"/>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140" w:afterAutospacing="0" w:line="274" w:lineRule="auto"/>
        <w:ind w:left="0" w:right="0"/>
        <w:jc w:val="center"/>
        <w:textAlignment w:val="auto"/>
        <w:outlineLvl w:val="9"/>
        <w:rPr>
          <w:rFonts w:hint="eastAsia" w:ascii="Times New Roman" w:hAnsi="Times New Roman" w:eastAsia="方正小标宋简体" w:cs="方正小标宋简体"/>
          <w:kern w:val="2"/>
          <w:sz w:val="72"/>
          <w:szCs w:val="72"/>
        </w:rPr>
      </w:pPr>
      <w:r>
        <w:rPr>
          <w:rFonts w:hint="eastAsia" w:ascii="Times New Roman" w:hAnsi="Times New Roman" w:eastAsia="方正小标宋简体" w:cs="方正小标宋简体"/>
          <w:kern w:val="2"/>
          <w:sz w:val="72"/>
          <w:szCs w:val="72"/>
          <w:lang w:val="en-US" w:eastAsia="zh-CN"/>
        </w:rPr>
        <w:t>202</w:t>
      </w:r>
      <w:r>
        <w:rPr>
          <w:rFonts w:hint="eastAsia" w:eastAsia="方正小标宋简体" w:cs="方正小标宋简体"/>
          <w:kern w:val="2"/>
          <w:sz w:val="72"/>
          <w:szCs w:val="72"/>
          <w:lang w:val="en-US" w:eastAsia="zh-CN"/>
        </w:rPr>
        <w:t>5</w:t>
      </w:r>
      <w:r>
        <w:rPr>
          <w:rFonts w:hint="eastAsia" w:ascii="Times New Roman" w:hAnsi="Times New Roman" w:eastAsia="方正小标宋简体" w:cs="方正小标宋简体"/>
          <w:kern w:val="2"/>
          <w:sz w:val="72"/>
          <w:szCs w:val="72"/>
          <w:lang w:val="en-US" w:eastAsia="zh-CN"/>
        </w:rPr>
        <w:t>年度</w:t>
      </w:r>
    </w:p>
    <w:p w14:paraId="34153EB1">
      <w:pPr>
        <w:pStyle w:val="15"/>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140" w:afterAutospacing="0" w:line="274" w:lineRule="auto"/>
        <w:ind w:left="0" w:right="0"/>
        <w:jc w:val="center"/>
        <w:textAlignment w:val="auto"/>
        <w:outlineLvl w:val="9"/>
        <w:rPr>
          <w:rFonts w:hint="eastAsia" w:ascii="Times New Roman" w:hAnsi="Times New Roman" w:eastAsia="方正小标宋简体" w:cs="方正小标宋简体"/>
          <w:kern w:val="2"/>
          <w:sz w:val="72"/>
          <w:szCs w:val="72"/>
          <w:lang w:val="en-US" w:eastAsia="zh-CN"/>
        </w:rPr>
      </w:pPr>
      <w:r>
        <w:rPr>
          <w:rFonts w:hint="eastAsia" w:ascii="Times New Roman" w:hAnsi="Times New Roman" w:eastAsia="方正小标宋简体" w:cs="方正小标宋简体"/>
          <w:kern w:val="2"/>
          <w:sz w:val="72"/>
          <w:szCs w:val="72"/>
          <w:lang w:val="en-US" w:eastAsia="zh-CN"/>
        </w:rPr>
        <w:t>中国共产党巴中市委员会</w:t>
      </w:r>
    </w:p>
    <w:p w14:paraId="02A16AAE">
      <w:pPr>
        <w:pStyle w:val="15"/>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140" w:afterAutospacing="0" w:line="274" w:lineRule="auto"/>
        <w:ind w:left="0" w:right="0"/>
        <w:jc w:val="center"/>
        <w:textAlignment w:val="auto"/>
        <w:outlineLvl w:val="9"/>
        <w:rPr>
          <w:rFonts w:hint="eastAsia" w:ascii="Times New Roman" w:hAnsi="Times New Roman" w:eastAsia="方正小标宋简体" w:cs="方正小标宋简体"/>
          <w:kern w:val="2"/>
          <w:sz w:val="72"/>
          <w:szCs w:val="72"/>
        </w:rPr>
      </w:pPr>
      <w:r>
        <w:rPr>
          <w:rFonts w:hint="eastAsia" w:ascii="Times New Roman" w:hAnsi="Times New Roman" w:eastAsia="方正小标宋简体" w:cs="方正小标宋简体"/>
          <w:kern w:val="2"/>
          <w:sz w:val="72"/>
          <w:szCs w:val="72"/>
          <w:lang w:val="en-US" w:eastAsia="zh-CN"/>
        </w:rPr>
        <w:t>宣传部部门决算</w:t>
      </w:r>
    </w:p>
    <w:p w14:paraId="2FAA9200">
      <w:pPr>
        <w:keepNext w:val="0"/>
        <w:pageBreakBefore w:val="0"/>
        <w:widowControl w:val="0"/>
        <w:kinsoku/>
        <w:wordWrap/>
        <w:overflowPunct/>
        <w:topLinePunct w:val="0"/>
        <w:autoSpaceDN/>
        <w:bidi w:val="0"/>
        <w:rPr>
          <w:rFonts w:ascii="Times New Roman" w:hAnsi="Times New Roman" w:eastAsia="方正小标宋简体"/>
          <w:color w:val="auto"/>
          <w:sz w:val="72"/>
          <w:szCs w:val="72"/>
          <w:highlight w:val="none"/>
        </w:rPr>
      </w:pPr>
      <w:r>
        <w:rPr>
          <w:rFonts w:ascii="Times New Roman" w:hAnsi="Times New Roman" w:eastAsia="方正小标宋简体"/>
          <w:color w:val="auto"/>
          <w:sz w:val="72"/>
          <w:szCs w:val="72"/>
          <w:highlight w:val="none"/>
        </w:rPr>
        <w:br w:type="page"/>
      </w:r>
    </w:p>
    <w:p w14:paraId="6148A2C8">
      <w:pPr>
        <w:pStyle w:val="24"/>
        <w:keepNext w:val="0"/>
        <w:keepLines/>
        <w:pageBreakBefore w:val="0"/>
        <w:widowControl w:val="0"/>
        <w:kinsoku/>
        <w:wordWrap/>
        <w:overflowPunct/>
        <w:topLinePunct w:val="0"/>
        <w:autoSpaceDN/>
        <w:bidi w:val="0"/>
        <w:rPr>
          <w:rFonts w:ascii="Times New Roman" w:hAnsi="Times New Roman"/>
        </w:rPr>
        <w:sectPr>
          <w:headerReference r:id="rId3" w:type="default"/>
          <w:footerReference r:id="rId4" w:type="default"/>
          <w:pgSz w:w="11906" w:h="16838"/>
          <w:pgMar w:top="2098" w:right="1474" w:bottom="1984" w:left="1587" w:header="851" w:footer="1417" w:gutter="0"/>
          <w:pgNumType w:fmt="numberInDash" w:start="1"/>
          <w:cols w:space="720" w:num="1"/>
          <w:rtlGutter w:val="1"/>
          <w:docGrid w:type="lines" w:linePitch="440" w:charSpace="0"/>
        </w:sectPr>
      </w:pPr>
    </w:p>
    <w:bookmarkEnd w:id="0"/>
    <w:bookmarkEnd w:id="1"/>
    <w:bookmarkEnd w:id="2"/>
    <w:bookmarkEnd w:id="3"/>
    <w:bookmarkEnd w:id="4"/>
    <w:bookmarkEnd w:id="5"/>
    <w:p w14:paraId="079330F2">
      <w:pPr>
        <w:keepNext w:val="0"/>
        <w:pageBreakBefore w:val="0"/>
        <w:widowControl/>
        <w:kinsoku/>
        <w:wordWrap/>
        <w:overflowPunct/>
        <w:topLinePunct w:val="0"/>
        <w:autoSpaceDN/>
        <w:bidi w:val="0"/>
        <w:jc w:val="center"/>
        <w:rPr>
          <w:rFonts w:hint="eastAsia" w:ascii="方正小标宋简体" w:eastAsia="方正小标宋简体" w:cs="方正小标宋简体"/>
          <w:color w:val="auto"/>
          <w:sz w:val="48"/>
          <w:szCs w:val="48"/>
          <w:highlight w:val="none"/>
        </w:rPr>
      </w:pPr>
      <w:r>
        <w:rPr>
          <w:rFonts w:hint="eastAsia" w:ascii="方正小标宋简体" w:eastAsia="方正小标宋简体" w:cs="方正小标宋简体"/>
          <w:color w:val="auto"/>
          <w:sz w:val="48"/>
          <w:szCs w:val="48"/>
          <w:highlight w:val="none"/>
        </w:rPr>
        <w:t>目</w:t>
      </w:r>
      <w:r>
        <w:rPr>
          <w:rFonts w:hint="eastAsia" w:ascii="方正小标宋简体" w:eastAsia="方正小标宋简体" w:cs="方正小标宋简体"/>
          <w:color w:val="auto"/>
          <w:sz w:val="48"/>
          <w:szCs w:val="48"/>
          <w:highlight w:val="none"/>
          <w:lang w:val="en-US" w:eastAsia="zh-CN"/>
        </w:rPr>
        <w:t xml:space="preserve">  </w:t>
      </w:r>
      <w:r>
        <w:rPr>
          <w:rFonts w:hint="eastAsia" w:ascii="方正小标宋简体" w:eastAsia="方正小标宋简体" w:cs="方正小标宋简体"/>
          <w:color w:val="auto"/>
          <w:sz w:val="48"/>
          <w:szCs w:val="48"/>
          <w:highlight w:val="none"/>
        </w:rPr>
        <w:t>录</w:t>
      </w:r>
    </w:p>
    <w:p w14:paraId="40914C21">
      <w:pPr>
        <w:keepNext w:val="0"/>
        <w:pageBreakBefore w:val="0"/>
        <w:widowControl/>
        <w:kinsoku/>
        <w:wordWrap/>
        <w:overflowPunct/>
        <w:topLinePunct w:val="0"/>
        <w:autoSpaceDN/>
        <w:bidi w:val="0"/>
        <w:jc w:val="center"/>
        <w:rPr>
          <w:rFonts w:ascii="Times New Roman" w:hAnsi="Times New Roman" w:eastAsia="黑体" w:cs="Arial"/>
          <w:color w:val="auto"/>
          <w:sz w:val="28"/>
          <w:szCs w:val="28"/>
          <w:highlight w:val="none"/>
        </w:rPr>
      </w:pPr>
    </w:p>
    <w:p w14:paraId="1FA8B9CE">
      <w:pPr>
        <w:pStyle w:val="12"/>
        <w:keepNext w:val="0"/>
        <w:pageBreakBefore w:val="0"/>
        <w:widowControl w:val="0"/>
        <w:kinsoku/>
        <w:wordWrap/>
        <w:overflowPunct/>
        <w:topLinePunct w:val="0"/>
        <w:autoSpaceDN/>
        <w:bidi w:val="0"/>
        <w:rPr>
          <w:rFonts w:hint="eastAsia" w:ascii="Times New Roman" w:hAnsi="Times New Roman" w:eastAsia="方正仿宋_GBK" w:cs="仿宋_GB2312"/>
          <w:color w:val="auto"/>
          <w:sz w:val="32"/>
          <w:szCs w:val="32"/>
          <w:highlight w:val="none"/>
        </w:rPr>
      </w:pPr>
      <w:r>
        <w:rPr>
          <w:rFonts w:hint="eastAsia" w:ascii="Times New Roman" w:hAnsi="Times New Roman" w:eastAsia="方正仿宋_GBK" w:cs="仿宋_GB2312"/>
          <w:color w:val="auto"/>
          <w:sz w:val="32"/>
          <w:szCs w:val="32"/>
          <w:highlight w:val="none"/>
        </w:rPr>
        <w:t>公开时间：20</w:t>
      </w:r>
      <w:r>
        <w:rPr>
          <w:rFonts w:hint="eastAsia" w:ascii="Times New Roman" w:hAnsi="Times New Roman" w:eastAsia="方正仿宋_GBK" w:cs="仿宋_GB2312"/>
          <w:color w:val="auto"/>
          <w:sz w:val="32"/>
          <w:szCs w:val="32"/>
          <w:highlight w:val="none"/>
          <w:lang w:val="en-US" w:eastAsia="zh-CN"/>
        </w:rPr>
        <w:t>26</w:t>
      </w:r>
      <w:r>
        <w:rPr>
          <w:rFonts w:hint="eastAsia" w:ascii="Times New Roman" w:hAnsi="Times New Roman" w:eastAsia="方正仿宋_GBK" w:cs="仿宋_GB2312"/>
          <w:color w:val="auto"/>
          <w:sz w:val="32"/>
          <w:szCs w:val="32"/>
          <w:highlight w:val="none"/>
        </w:rPr>
        <w:t>年</w:t>
      </w:r>
      <w:r>
        <w:rPr>
          <w:rFonts w:hint="eastAsia" w:ascii="Times New Roman" w:hAnsi="Times New Roman" w:eastAsia="方正仿宋_GBK" w:cs="仿宋_GB2312"/>
          <w:color w:val="auto"/>
          <w:sz w:val="32"/>
          <w:szCs w:val="32"/>
          <w:highlight w:val="none"/>
          <w:lang w:val="en-US" w:eastAsia="zh-CN"/>
        </w:rPr>
        <w:t>9</w:t>
      </w:r>
      <w:r>
        <w:rPr>
          <w:rFonts w:hint="eastAsia" w:ascii="Times New Roman" w:hAnsi="Times New Roman" w:eastAsia="方正仿宋_GBK" w:cs="仿宋_GB2312"/>
          <w:color w:val="auto"/>
          <w:sz w:val="32"/>
          <w:szCs w:val="32"/>
          <w:highlight w:val="none"/>
        </w:rPr>
        <w:t>月</w:t>
      </w:r>
      <w:r>
        <w:rPr>
          <w:rFonts w:hint="eastAsia" w:ascii="Times New Roman" w:hAnsi="Times New Roman" w:eastAsia="方正仿宋_GBK" w:cs="仿宋_GB2312"/>
          <w:color w:val="auto"/>
          <w:sz w:val="32"/>
          <w:szCs w:val="32"/>
          <w:highlight w:val="none"/>
          <w:lang w:val="en-US" w:eastAsia="zh-CN"/>
        </w:rPr>
        <w:t>15</w:t>
      </w:r>
      <w:r>
        <w:rPr>
          <w:rFonts w:hint="eastAsia" w:ascii="Times New Roman" w:hAnsi="Times New Roman" w:eastAsia="方正仿宋_GBK" w:cs="仿宋_GB2312"/>
          <w:color w:val="auto"/>
          <w:sz w:val="32"/>
          <w:szCs w:val="32"/>
          <w:highlight w:val="none"/>
        </w:rPr>
        <w:t>日</w:t>
      </w:r>
    </w:p>
    <w:p w14:paraId="6A272B67">
      <w:pPr>
        <w:pStyle w:val="12"/>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黑体_GBK" w:cs="方正黑体_GBK"/>
          <w:sz w:val="32"/>
          <w:szCs w:val="32"/>
        </w:rPr>
      </w:pPr>
      <w:r>
        <w:rPr>
          <w:rFonts w:hint="eastAsia" w:ascii="Times New Roman" w:hAnsi="Times New Roman" w:eastAsia="方正仿宋_GBK" w:cs="方正仿宋_GBK"/>
          <w:color w:val="auto"/>
          <w:sz w:val="32"/>
          <w:szCs w:val="32"/>
          <w:highlight w:val="none"/>
        </w:rPr>
        <w:fldChar w:fldCharType="begin"/>
      </w:r>
      <w:r>
        <w:rPr>
          <w:rFonts w:hint="eastAsia" w:ascii="Times New Roman" w:hAnsi="Times New Roman" w:eastAsia="方正仿宋_GBK" w:cs="方正仿宋_GBK"/>
          <w:color w:val="auto"/>
          <w:sz w:val="32"/>
          <w:szCs w:val="32"/>
          <w:highlight w:val="none"/>
        </w:rPr>
        <w:instrText xml:space="preserve">TOC \o "1-2" \h \u </w:instrText>
      </w:r>
      <w:r>
        <w:rPr>
          <w:rFonts w:hint="eastAsia" w:ascii="Times New Roman" w:hAnsi="Times New Roman" w:eastAsia="方正仿宋_GBK" w:cs="方正仿宋_GBK"/>
          <w:color w:val="auto"/>
          <w:sz w:val="32"/>
          <w:szCs w:val="32"/>
          <w:highlight w:val="none"/>
        </w:rPr>
        <w:fldChar w:fldCharType="separate"/>
      </w:r>
      <w:r>
        <w:rPr>
          <w:rFonts w:hint="eastAsia" w:ascii="Times New Roman" w:hAnsi="Times New Roman" w:eastAsia="方正黑体_GBK" w:cs="方正黑体_GBK"/>
          <w:sz w:val="32"/>
          <w:szCs w:val="32"/>
          <w:highlight w:val="none"/>
        </w:rPr>
        <w:fldChar w:fldCharType="begin"/>
      </w:r>
      <w:r>
        <w:rPr>
          <w:rFonts w:hint="eastAsia" w:ascii="Times New Roman" w:hAnsi="Times New Roman" w:eastAsia="方正黑体_GBK" w:cs="方正黑体_GBK"/>
          <w:sz w:val="32"/>
          <w:szCs w:val="32"/>
          <w:highlight w:val="none"/>
        </w:rPr>
        <w:instrText xml:space="preserve"> HYPERLINK \l _Toc25973 </w:instrText>
      </w:r>
      <w:r>
        <w:rPr>
          <w:rFonts w:hint="eastAsia" w:ascii="Times New Roman" w:hAnsi="Times New Roman" w:eastAsia="方正黑体_GBK" w:cs="方正黑体_GBK"/>
          <w:sz w:val="32"/>
          <w:szCs w:val="32"/>
          <w:highlight w:val="none"/>
        </w:rPr>
        <w:fldChar w:fldCharType="separate"/>
      </w:r>
      <w:r>
        <w:rPr>
          <w:rFonts w:hint="eastAsia" w:ascii="Times New Roman" w:hAnsi="Times New Roman" w:eastAsia="方正黑体_GBK" w:cs="方正黑体_GBK"/>
          <w:sz w:val="32"/>
          <w:szCs w:val="32"/>
          <w:highlight w:val="none"/>
        </w:rPr>
        <w:t>第一部分</w:t>
      </w:r>
      <w:r>
        <w:rPr>
          <w:rFonts w:hint="eastAsia" w:ascii="Times New Roman" w:hAnsi="Times New Roman" w:eastAsia="方正黑体_GBK" w:cs="方正黑体_GBK"/>
          <w:sz w:val="32"/>
          <w:szCs w:val="32"/>
          <w:highlight w:val="none"/>
          <w:lang w:val="en-US" w:eastAsia="zh-CN"/>
        </w:rPr>
        <w:t xml:space="preserve"> </w:t>
      </w:r>
      <w:r>
        <w:rPr>
          <w:rFonts w:hint="eastAsia" w:ascii="Times New Roman" w:hAnsi="Times New Roman" w:eastAsia="方正黑体_GBK" w:cs="方正黑体_GBK"/>
          <w:sz w:val="32"/>
          <w:szCs w:val="32"/>
          <w:highlight w:val="none"/>
        </w:rPr>
        <w:t xml:space="preserve"> </w:t>
      </w:r>
      <w:r>
        <w:rPr>
          <w:rFonts w:hint="eastAsia" w:ascii="Times New Roman" w:hAnsi="Times New Roman" w:eastAsia="方正黑体_GBK" w:cs="方正黑体_GBK"/>
          <w:bCs w:val="0"/>
          <w:sz w:val="32"/>
          <w:szCs w:val="32"/>
          <w:highlight w:val="none"/>
        </w:rPr>
        <w:t>部门概况</w:t>
      </w:r>
      <w:r>
        <w:rPr>
          <w:rFonts w:hint="eastAsia" w:ascii="Times New Roman" w:hAnsi="Times New Roman" w:eastAsia="方正黑体_GBK" w:cs="方正黑体_GBK"/>
          <w:sz w:val="32"/>
          <w:szCs w:val="32"/>
        </w:rPr>
        <w:tab/>
      </w:r>
      <w:r>
        <w:rPr>
          <w:rFonts w:hint="eastAsia" w:ascii="Times New Roman" w:hAnsi="Times New Roman" w:eastAsia="方正黑体_GBK" w:cs="方正黑体_GBK"/>
          <w:sz w:val="32"/>
          <w:szCs w:val="32"/>
        </w:rPr>
        <w:fldChar w:fldCharType="begin"/>
      </w:r>
      <w:r>
        <w:rPr>
          <w:rFonts w:hint="eastAsia" w:ascii="Times New Roman" w:hAnsi="Times New Roman" w:eastAsia="方正黑体_GBK" w:cs="方正黑体_GBK"/>
          <w:sz w:val="32"/>
          <w:szCs w:val="32"/>
        </w:rPr>
        <w:instrText xml:space="preserve"> PAGEREF _Toc25973 </w:instrText>
      </w:r>
      <w:r>
        <w:rPr>
          <w:rFonts w:hint="eastAsia" w:ascii="Times New Roman" w:hAnsi="Times New Roman" w:eastAsia="方正黑体_GBK" w:cs="方正黑体_GBK"/>
          <w:sz w:val="32"/>
          <w:szCs w:val="32"/>
        </w:rPr>
        <w:fldChar w:fldCharType="separate"/>
      </w:r>
      <w:r>
        <w:rPr>
          <w:rFonts w:hint="eastAsia" w:ascii="Times New Roman" w:hAnsi="Times New Roman" w:eastAsia="方正黑体_GBK" w:cs="方正黑体_GBK"/>
          <w:sz w:val="32"/>
          <w:szCs w:val="32"/>
        </w:rPr>
        <w:t>3</w:t>
      </w:r>
      <w:r>
        <w:rPr>
          <w:rFonts w:hint="eastAsia" w:ascii="Times New Roman" w:hAnsi="Times New Roman" w:eastAsia="方正黑体_GBK" w:cs="方正黑体_GBK"/>
          <w:sz w:val="32"/>
          <w:szCs w:val="32"/>
        </w:rPr>
        <w:fldChar w:fldCharType="end"/>
      </w:r>
      <w:r>
        <w:rPr>
          <w:rFonts w:hint="eastAsia" w:ascii="Times New Roman" w:hAnsi="Times New Roman" w:eastAsia="方正黑体_GBK" w:cs="方正黑体_GBK"/>
          <w:color w:val="auto"/>
          <w:sz w:val="32"/>
          <w:szCs w:val="32"/>
          <w:highlight w:val="none"/>
        </w:rPr>
        <w:fldChar w:fldCharType="end"/>
      </w:r>
    </w:p>
    <w:p w14:paraId="50C7701E">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_Toc691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kern w:val="2"/>
          <w:sz w:val="32"/>
          <w:szCs w:val="32"/>
          <w:lang w:val="en-US" w:eastAsia="zh-CN"/>
        </w:rPr>
        <w:t>一、部门职责</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_Toc691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3</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16D6B169">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_Toc17725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kern w:val="2"/>
          <w:sz w:val="32"/>
          <w:szCs w:val="32"/>
          <w:lang w:val="en-US" w:eastAsia="zh-CN"/>
        </w:rPr>
        <w:t>二、机构设置</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_Toc17725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3</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0B8E792B">
      <w:pPr>
        <w:pStyle w:val="12"/>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highlight w:val="none"/>
        </w:rPr>
        <w:fldChar w:fldCharType="begin"/>
      </w:r>
      <w:r>
        <w:rPr>
          <w:rFonts w:hint="eastAsia" w:ascii="Times New Roman" w:hAnsi="Times New Roman" w:eastAsia="方正黑体_GBK" w:cs="方正黑体_GBK"/>
          <w:sz w:val="32"/>
          <w:szCs w:val="32"/>
          <w:highlight w:val="none"/>
        </w:rPr>
        <w:instrText xml:space="preserve"> HYPERLINK \l _Toc31486 </w:instrText>
      </w:r>
      <w:r>
        <w:rPr>
          <w:rFonts w:hint="eastAsia" w:ascii="Times New Roman" w:hAnsi="Times New Roman" w:eastAsia="方正黑体_GBK" w:cs="方正黑体_GBK"/>
          <w:sz w:val="32"/>
          <w:szCs w:val="32"/>
          <w:highlight w:val="none"/>
        </w:rPr>
        <w:fldChar w:fldCharType="separate"/>
      </w:r>
      <w:r>
        <w:rPr>
          <w:rFonts w:hint="eastAsia" w:ascii="Times New Roman" w:hAnsi="Times New Roman" w:eastAsia="方正黑体_GBK" w:cs="方正黑体_GBK"/>
          <w:sz w:val="32"/>
          <w:szCs w:val="32"/>
          <w:highlight w:val="none"/>
        </w:rPr>
        <w:t>第二部分</w:t>
      </w:r>
      <w:r>
        <w:rPr>
          <w:rFonts w:hint="eastAsia" w:ascii="Times New Roman" w:hAnsi="Times New Roman" w:eastAsia="方正黑体_GBK" w:cs="方正黑体_GBK"/>
          <w:sz w:val="32"/>
          <w:szCs w:val="32"/>
          <w:highlight w:val="none"/>
          <w:lang w:val="en-US" w:eastAsia="zh-CN"/>
        </w:rPr>
        <w:t xml:space="preserve"> </w:t>
      </w:r>
      <w:r>
        <w:rPr>
          <w:rFonts w:hint="eastAsia" w:ascii="Times New Roman" w:hAnsi="Times New Roman" w:eastAsia="方正黑体_GBK" w:cs="方正黑体_GBK"/>
          <w:sz w:val="32"/>
          <w:szCs w:val="32"/>
          <w:highlight w:val="none"/>
        </w:rPr>
        <w:t xml:space="preserve">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部门决算情况说明</w:t>
      </w:r>
      <w:r>
        <w:rPr>
          <w:rFonts w:hint="eastAsia" w:ascii="Times New Roman" w:hAnsi="Times New Roman" w:eastAsia="方正黑体_GBK" w:cs="方正黑体_GBK"/>
          <w:sz w:val="32"/>
          <w:szCs w:val="32"/>
        </w:rPr>
        <w:tab/>
      </w:r>
      <w:r>
        <w:rPr>
          <w:rFonts w:hint="eastAsia" w:ascii="Times New Roman" w:hAnsi="Times New Roman" w:eastAsia="方正黑体_GBK" w:cs="方正黑体_GBK"/>
          <w:sz w:val="32"/>
          <w:szCs w:val="32"/>
        </w:rPr>
        <w:fldChar w:fldCharType="begin"/>
      </w:r>
      <w:r>
        <w:rPr>
          <w:rFonts w:hint="eastAsia" w:ascii="Times New Roman" w:hAnsi="Times New Roman" w:eastAsia="方正黑体_GBK" w:cs="方正黑体_GBK"/>
          <w:sz w:val="32"/>
          <w:szCs w:val="32"/>
        </w:rPr>
        <w:instrText xml:space="preserve"> PAGEREF _Toc31486 </w:instrText>
      </w:r>
      <w:r>
        <w:rPr>
          <w:rFonts w:hint="eastAsia" w:ascii="Times New Roman" w:hAnsi="Times New Roman" w:eastAsia="方正黑体_GBK" w:cs="方正黑体_GBK"/>
          <w:sz w:val="32"/>
          <w:szCs w:val="32"/>
        </w:rPr>
        <w:fldChar w:fldCharType="separate"/>
      </w:r>
      <w:r>
        <w:rPr>
          <w:rFonts w:hint="eastAsia" w:ascii="Times New Roman" w:hAnsi="Times New Roman" w:eastAsia="方正黑体_GBK" w:cs="方正黑体_GBK"/>
          <w:sz w:val="32"/>
          <w:szCs w:val="32"/>
        </w:rPr>
        <w:t>4</w:t>
      </w:r>
      <w:r>
        <w:rPr>
          <w:rFonts w:hint="eastAsia" w:ascii="Times New Roman" w:hAnsi="Times New Roman" w:eastAsia="方正黑体_GBK" w:cs="方正黑体_GBK"/>
          <w:sz w:val="32"/>
          <w:szCs w:val="32"/>
        </w:rPr>
        <w:fldChar w:fldCharType="end"/>
      </w:r>
      <w:r>
        <w:rPr>
          <w:rFonts w:hint="eastAsia" w:ascii="Times New Roman" w:hAnsi="Times New Roman" w:eastAsia="方正黑体_GBK" w:cs="方正黑体_GBK"/>
          <w:color w:val="auto"/>
          <w:sz w:val="32"/>
          <w:szCs w:val="32"/>
          <w:highlight w:val="none"/>
        </w:rPr>
        <w:fldChar w:fldCharType="end"/>
      </w:r>
    </w:p>
    <w:p w14:paraId="0E9593E3">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_Toc15626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一、</w:t>
      </w:r>
      <w:r>
        <w:rPr>
          <w:rFonts w:hint="eastAsia" w:ascii="Times New Roman" w:hAnsi="Times New Roman" w:eastAsia="方正仿宋_GBK" w:cs="方正仿宋_GBK"/>
          <w:sz w:val="32"/>
          <w:szCs w:val="32"/>
          <w:highlight w:val="none"/>
        </w:rPr>
        <w:t>收入支出决算总体情况说明</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_Toc15626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612638B2">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_Toc31400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二、收入决算情况说明</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_Toc31400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65AD2469">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_Toc28027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三、支出决算情况说明</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_Toc28027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5</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1CA4E9A4">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_Toc11563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四、财政拨款收入支出决算总体情况说明</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_Toc11563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6</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709B8FEC">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_Toc5136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五、一般公共预算财政拨款支出决算情况说明</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_Toc5136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7</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5B21C4D8">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_Toc25138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六、一般公共预算财政拨款基本支出决算情况说明</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_Toc25138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10</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54362CAD">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_Toc20813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七、财政拨款“三公”经费支出决算情况说明</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_Toc20813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11</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070AE625">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_Toc4522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八、政府性基金预算支出决算情况说明</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_Toc4522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13</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597BBF57">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_Toc6395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九、国有资本经营预算支出决算情况说明</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_Toc6395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13</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50C32431">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_Toc5506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十、其他重要事项的情况说明</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_Toc5506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13</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4A0B663C">
      <w:pPr>
        <w:pStyle w:val="12"/>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highlight w:val="none"/>
        </w:rPr>
        <w:fldChar w:fldCharType="begin"/>
      </w:r>
      <w:r>
        <w:rPr>
          <w:rFonts w:hint="eastAsia" w:ascii="Times New Roman" w:hAnsi="Times New Roman" w:eastAsia="方正黑体_GBK" w:cs="方正黑体_GBK"/>
          <w:sz w:val="32"/>
          <w:szCs w:val="32"/>
          <w:highlight w:val="none"/>
        </w:rPr>
        <w:instrText xml:space="preserve"> HYPERLINK \l _Toc25964 </w:instrText>
      </w:r>
      <w:r>
        <w:rPr>
          <w:rFonts w:hint="eastAsia" w:ascii="Times New Roman" w:hAnsi="Times New Roman" w:eastAsia="方正黑体_GBK" w:cs="方正黑体_GBK"/>
          <w:sz w:val="32"/>
          <w:szCs w:val="32"/>
          <w:highlight w:val="none"/>
        </w:rPr>
        <w:fldChar w:fldCharType="separate"/>
      </w:r>
      <w:r>
        <w:rPr>
          <w:rFonts w:hint="eastAsia" w:ascii="Times New Roman" w:hAnsi="Times New Roman" w:eastAsia="方正黑体_GBK" w:cs="方正黑体_GBK"/>
          <w:sz w:val="32"/>
          <w:szCs w:val="32"/>
          <w:highlight w:val="none"/>
        </w:rPr>
        <w:t>第</w:t>
      </w:r>
      <w:r>
        <w:rPr>
          <w:rFonts w:hint="eastAsia" w:ascii="Times New Roman" w:hAnsi="Times New Roman" w:eastAsia="方正黑体_GBK" w:cs="方正黑体_GBK"/>
          <w:sz w:val="32"/>
          <w:szCs w:val="32"/>
          <w:highlight w:val="none"/>
          <w:lang w:eastAsia="zh-CN"/>
        </w:rPr>
        <w:t>三</w:t>
      </w:r>
      <w:r>
        <w:rPr>
          <w:rFonts w:hint="eastAsia" w:ascii="Times New Roman" w:hAnsi="Times New Roman" w:eastAsia="方正黑体_GBK" w:cs="方正黑体_GBK"/>
          <w:sz w:val="32"/>
          <w:szCs w:val="32"/>
          <w:highlight w:val="none"/>
        </w:rPr>
        <w:t>部分</w:t>
      </w:r>
      <w:r>
        <w:rPr>
          <w:rFonts w:hint="eastAsia" w:ascii="Times New Roman" w:hAnsi="Times New Roman" w:eastAsia="方正黑体_GBK" w:cs="方正黑体_GBK"/>
          <w:sz w:val="32"/>
          <w:szCs w:val="32"/>
          <w:highlight w:val="none"/>
          <w:lang w:val="en-US" w:eastAsia="zh-CN"/>
        </w:rPr>
        <w:t xml:space="preserve">  </w:t>
      </w:r>
      <w:r>
        <w:rPr>
          <w:rFonts w:hint="eastAsia" w:ascii="Times New Roman" w:hAnsi="Times New Roman" w:eastAsia="方正黑体_GBK" w:cs="方正黑体_GBK"/>
          <w:sz w:val="32"/>
          <w:szCs w:val="32"/>
          <w:highlight w:val="none"/>
        </w:rPr>
        <w:t>名词解释</w:t>
      </w:r>
      <w:r>
        <w:rPr>
          <w:rFonts w:hint="eastAsia" w:ascii="Times New Roman" w:hAnsi="Times New Roman" w:eastAsia="方正黑体_GBK" w:cs="方正黑体_GBK"/>
          <w:sz w:val="32"/>
          <w:szCs w:val="32"/>
        </w:rPr>
        <w:tab/>
      </w:r>
      <w:r>
        <w:rPr>
          <w:rFonts w:hint="eastAsia" w:ascii="Times New Roman" w:hAnsi="Times New Roman" w:eastAsia="方正黑体_GBK" w:cs="方正黑体_GBK"/>
          <w:sz w:val="32"/>
          <w:szCs w:val="32"/>
        </w:rPr>
        <w:fldChar w:fldCharType="begin"/>
      </w:r>
      <w:r>
        <w:rPr>
          <w:rFonts w:hint="eastAsia" w:ascii="Times New Roman" w:hAnsi="Times New Roman" w:eastAsia="方正黑体_GBK" w:cs="方正黑体_GBK"/>
          <w:sz w:val="32"/>
          <w:szCs w:val="32"/>
        </w:rPr>
        <w:instrText xml:space="preserve"> PAGEREF _Toc25964 </w:instrText>
      </w:r>
      <w:r>
        <w:rPr>
          <w:rFonts w:hint="eastAsia" w:ascii="Times New Roman" w:hAnsi="Times New Roman" w:eastAsia="方正黑体_GBK" w:cs="方正黑体_GBK"/>
          <w:sz w:val="32"/>
          <w:szCs w:val="32"/>
        </w:rPr>
        <w:fldChar w:fldCharType="separate"/>
      </w:r>
      <w:r>
        <w:rPr>
          <w:rFonts w:hint="eastAsia" w:ascii="Times New Roman" w:hAnsi="Times New Roman" w:eastAsia="方正黑体_GBK" w:cs="方正黑体_GBK"/>
          <w:sz w:val="32"/>
          <w:szCs w:val="32"/>
        </w:rPr>
        <w:t>16</w:t>
      </w:r>
      <w:r>
        <w:rPr>
          <w:rFonts w:hint="eastAsia" w:ascii="Times New Roman" w:hAnsi="Times New Roman" w:eastAsia="方正黑体_GBK" w:cs="方正黑体_GBK"/>
          <w:sz w:val="32"/>
          <w:szCs w:val="32"/>
        </w:rPr>
        <w:fldChar w:fldCharType="end"/>
      </w:r>
      <w:r>
        <w:rPr>
          <w:rFonts w:hint="eastAsia" w:ascii="Times New Roman" w:hAnsi="Times New Roman" w:eastAsia="方正黑体_GBK" w:cs="方正黑体_GBK"/>
          <w:color w:val="auto"/>
          <w:sz w:val="32"/>
          <w:szCs w:val="32"/>
          <w:highlight w:val="none"/>
        </w:rPr>
        <w:fldChar w:fldCharType="end"/>
      </w:r>
    </w:p>
    <w:p w14:paraId="046EC057">
      <w:pPr>
        <w:pStyle w:val="12"/>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highlight w:val="none"/>
        </w:rPr>
        <w:fldChar w:fldCharType="begin"/>
      </w:r>
      <w:r>
        <w:rPr>
          <w:rFonts w:hint="eastAsia" w:ascii="Times New Roman" w:hAnsi="Times New Roman" w:eastAsia="方正黑体_GBK" w:cs="方正黑体_GBK"/>
          <w:sz w:val="32"/>
          <w:szCs w:val="32"/>
          <w:highlight w:val="none"/>
        </w:rPr>
        <w:instrText xml:space="preserve"> HYPERLINK \l _Toc28252 </w:instrText>
      </w:r>
      <w:r>
        <w:rPr>
          <w:rFonts w:hint="eastAsia" w:ascii="Times New Roman" w:hAnsi="Times New Roman" w:eastAsia="方正黑体_GBK" w:cs="方正黑体_GBK"/>
          <w:sz w:val="32"/>
          <w:szCs w:val="32"/>
          <w:highlight w:val="none"/>
        </w:rPr>
        <w:fldChar w:fldCharType="separate"/>
      </w:r>
      <w:r>
        <w:rPr>
          <w:rFonts w:hint="eastAsia" w:ascii="Times New Roman" w:hAnsi="Times New Roman" w:eastAsia="方正黑体_GBK" w:cs="方正黑体_GBK"/>
          <w:bCs/>
          <w:kern w:val="44"/>
          <w:sz w:val="32"/>
          <w:szCs w:val="32"/>
          <w:highlight w:val="none"/>
          <w:lang w:val="en-US" w:eastAsia="zh-CN" w:bidi="ar-SA"/>
        </w:rPr>
        <w:t>第四部分  附件</w:t>
      </w:r>
      <w:r>
        <w:rPr>
          <w:rFonts w:hint="eastAsia" w:ascii="Times New Roman" w:hAnsi="Times New Roman" w:eastAsia="方正黑体_GBK" w:cs="方正黑体_GBK"/>
          <w:sz w:val="32"/>
          <w:szCs w:val="32"/>
        </w:rPr>
        <w:tab/>
      </w:r>
      <w:r>
        <w:rPr>
          <w:rFonts w:hint="eastAsia" w:ascii="Times New Roman" w:hAnsi="Times New Roman" w:eastAsia="方正黑体_GBK" w:cs="方正黑体_GBK"/>
          <w:sz w:val="32"/>
          <w:szCs w:val="32"/>
        </w:rPr>
        <w:fldChar w:fldCharType="begin"/>
      </w:r>
      <w:r>
        <w:rPr>
          <w:rFonts w:hint="eastAsia" w:ascii="Times New Roman" w:hAnsi="Times New Roman" w:eastAsia="方正黑体_GBK" w:cs="方正黑体_GBK"/>
          <w:sz w:val="32"/>
          <w:szCs w:val="32"/>
        </w:rPr>
        <w:instrText xml:space="preserve"> PAGEREF _Toc28252 </w:instrText>
      </w:r>
      <w:r>
        <w:rPr>
          <w:rFonts w:hint="eastAsia" w:ascii="Times New Roman" w:hAnsi="Times New Roman" w:eastAsia="方正黑体_GBK" w:cs="方正黑体_GBK"/>
          <w:sz w:val="32"/>
          <w:szCs w:val="32"/>
        </w:rPr>
        <w:fldChar w:fldCharType="separate"/>
      </w:r>
      <w:r>
        <w:rPr>
          <w:rFonts w:hint="eastAsia" w:ascii="Times New Roman" w:hAnsi="Times New Roman" w:eastAsia="方正黑体_GBK" w:cs="方正黑体_GBK"/>
          <w:sz w:val="32"/>
          <w:szCs w:val="32"/>
        </w:rPr>
        <w:t>20</w:t>
      </w:r>
      <w:r>
        <w:rPr>
          <w:rFonts w:hint="eastAsia" w:ascii="Times New Roman" w:hAnsi="Times New Roman" w:eastAsia="方正黑体_GBK" w:cs="方正黑体_GBK"/>
          <w:sz w:val="32"/>
          <w:szCs w:val="32"/>
        </w:rPr>
        <w:fldChar w:fldCharType="end"/>
      </w:r>
      <w:r>
        <w:rPr>
          <w:rFonts w:hint="eastAsia" w:ascii="Times New Roman" w:hAnsi="Times New Roman" w:eastAsia="方正黑体_GBK" w:cs="方正黑体_GBK"/>
          <w:color w:val="auto"/>
          <w:sz w:val="32"/>
          <w:szCs w:val="32"/>
          <w:highlight w:val="none"/>
        </w:rPr>
        <w:fldChar w:fldCharType="end"/>
      </w:r>
    </w:p>
    <w:p w14:paraId="297E24CE">
      <w:pPr>
        <w:pStyle w:val="12"/>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highlight w:val="none"/>
        </w:rPr>
        <w:fldChar w:fldCharType="begin"/>
      </w:r>
      <w:r>
        <w:rPr>
          <w:rFonts w:hint="eastAsia" w:ascii="Times New Roman" w:hAnsi="Times New Roman" w:eastAsia="方正黑体_GBK" w:cs="方正黑体_GBK"/>
          <w:sz w:val="32"/>
          <w:szCs w:val="32"/>
          <w:highlight w:val="none"/>
        </w:rPr>
        <w:instrText xml:space="preserve"> HYPERLINK \l _Toc19954 </w:instrText>
      </w:r>
      <w:r>
        <w:rPr>
          <w:rFonts w:hint="eastAsia" w:ascii="Times New Roman" w:hAnsi="Times New Roman" w:eastAsia="方正黑体_GBK" w:cs="方正黑体_GBK"/>
          <w:sz w:val="32"/>
          <w:szCs w:val="32"/>
          <w:highlight w:val="none"/>
        </w:rPr>
        <w:fldChar w:fldCharType="separate"/>
      </w:r>
      <w:r>
        <w:rPr>
          <w:rFonts w:hint="eastAsia" w:ascii="Times New Roman" w:hAnsi="Times New Roman" w:eastAsia="方正黑体_GBK" w:cs="方正黑体_GBK"/>
          <w:sz w:val="32"/>
          <w:szCs w:val="32"/>
          <w:highlight w:val="none"/>
        </w:rPr>
        <w:t>第五部分 附表</w:t>
      </w:r>
      <w:r>
        <w:rPr>
          <w:rFonts w:hint="eastAsia" w:ascii="Times New Roman" w:hAnsi="Times New Roman" w:eastAsia="方正黑体_GBK" w:cs="方正黑体_GBK"/>
          <w:sz w:val="32"/>
          <w:szCs w:val="32"/>
        </w:rPr>
        <w:tab/>
      </w:r>
      <w:r>
        <w:rPr>
          <w:rFonts w:hint="eastAsia" w:ascii="Times New Roman" w:hAnsi="Times New Roman" w:eastAsia="方正黑体_GBK" w:cs="方正黑体_GBK"/>
          <w:sz w:val="32"/>
          <w:szCs w:val="32"/>
          <w:lang w:val="en-US" w:eastAsia="zh-CN"/>
        </w:rPr>
        <w:t>1</w:t>
      </w:r>
      <w:r>
        <w:rPr>
          <w:rFonts w:hint="eastAsia" w:ascii="Times New Roman" w:hAnsi="Times New Roman" w:eastAsia="方正黑体_GBK" w:cs="方正黑体_GBK"/>
          <w:color w:val="auto"/>
          <w:sz w:val="32"/>
          <w:szCs w:val="32"/>
          <w:highlight w:val="none"/>
        </w:rPr>
        <w:fldChar w:fldCharType="end"/>
      </w:r>
      <w:r>
        <w:rPr>
          <w:rFonts w:hint="eastAsia" w:ascii="Times New Roman" w:hAnsi="Times New Roman" w:eastAsia="方正黑体_GBK" w:cs="方正黑体_GBK"/>
          <w:color w:val="auto"/>
          <w:sz w:val="32"/>
          <w:szCs w:val="32"/>
          <w:highlight w:val="none"/>
          <w:lang w:val="en-US" w:eastAsia="zh-CN"/>
        </w:rPr>
        <w:t>44</w:t>
      </w:r>
    </w:p>
    <w:p w14:paraId="38D3754E">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_Toc21169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一、收入支出决算总表</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44</w:t>
      </w:r>
    </w:p>
    <w:p w14:paraId="3FC8A29A">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_Toc25056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二、收入决算表</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14</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4</w:t>
      </w:r>
    </w:p>
    <w:p w14:paraId="48BAA5DC">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_Toc1085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三、支出决算表</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44</w:t>
      </w:r>
    </w:p>
    <w:p w14:paraId="565F4D72">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_Toc29909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四、财政拨款收入支出决算总表</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44</w:t>
      </w:r>
    </w:p>
    <w:p w14:paraId="134C9274">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_Toc1457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五、财政拨款支出决算明细表</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44</w:t>
      </w:r>
    </w:p>
    <w:p w14:paraId="5FB6A6E9">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_Toc11809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六、一般公共预算财政拨款支出决算表</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44</w:t>
      </w:r>
    </w:p>
    <w:p w14:paraId="7B761005">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_Toc23285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七、一般公共预算财政拨款支出决算明细表</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44</w:t>
      </w:r>
    </w:p>
    <w:p w14:paraId="5AE8BC1C">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_Toc31871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八、一般公共预算财政拨款基本支出决算表</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44</w:t>
      </w:r>
    </w:p>
    <w:p w14:paraId="53B6F144">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_Toc4228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九、一般公共预算财政拨款项目支出决算表</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44</w:t>
      </w:r>
    </w:p>
    <w:p w14:paraId="7DCE641C">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_Toc22653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十、政府性基金预算财政拨款收入支出决算表</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44</w:t>
      </w:r>
    </w:p>
    <w:p w14:paraId="71151C32">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_Toc27306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十一、国有资本经营预算</w:t>
      </w:r>
      <w:r>
        <w:rPr>
          <w:rFonts w:hint="eastAsia" w:ascii="Times New Roman" w:hAnsi="Times New Roman" w:eastAsia="方正仿宋_GBK" w:cs="方正仿宋_GBK"/>
          <w:sz w:val="32"/>
          <w:szCs w:val="32"/>
          <w:highlight w:val="none"/>
          <w:lang w:eastAsia="zh-CN"/>
        </w:rPr>
        <w:t>财政拨款收入</w:t>
      </w:r>
      <w:r>
        <w:rPr>
          <w:rFonts w:hint="eastAsia" w:ascii="Times New Roman" w:hAnsi="Times New Roman" w:eastAsia="方正仿宋_GBK" w:cs="方正仿宋_GBK"/>
          <w:sz w:val="32"/>
          <w:szCs w:val="32"/>
          <w:highlight w:val="none"/>
        </w:rPr>
        <w:t>支出决算表</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44</w:t>
      </w:r>
    </w:p>
    <w:p w14:paraId="144DF0CC">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_Toc21320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十二、</w:t>
      </w:r>
      <w:r>
        <w:rPr>
          <w:rFonts w:hint="eastAsia" w:ascii="Times New Roman" w:hAnsi="Times New Roman" w:eastAsia="方正仿宋_GBK" w:cs="方正仿宋_GBK"/>
          <w:sz w:val="32"/>
          <w:szCs w:val="32"/>
          <w:highlight w:val="none"/>
          <w:lang w:eastAsia="zh-CN"/>
        </w:rPr>
        <w:t>国有资本经营预算财政拨款支出决算表</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44</w:t>
      </w:r>
    </w:p>
    <w:p w14:paraId="759FB6E8">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80" w:lineRule="exact"/>
        <w:textAlignment w:val="auto"/>
        <w:outlineLvl w:val="9"/>
        <w:rPr>
          <w:rFonts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_Toc25515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十三、</w:t>
      </w:r>
      <w:r>
        <w:rPr>
          <w:rFonts w:hint="eastAsia" w:ascii="Times New Roman" w:hAnsi="Times New Roman" w:eastAsia="方正仿宋_GBK" w:cs="方正仿宋_GBK"/>
          <w:sz w:val="32"/>
          <w:szCs w:val="32"/>
          <w:highlight w:val="none"/>
          <w:lang w:eastAsia="zh-CN"/>
        </w:rPr>
        <w:t>财政拨款“三公”经费支出决算表</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44</w:t>
      </w:r>
    </w:p>
    <w:p w14:paraId="4F38CDA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方正仿宋_GBK" w:cs="仿宋_GB2312"/>
          <w:color w:val="auto"/>
          <w:sz w:val="32"/>
          <w:szCs w:val="32"/>
          <w:highlight w:val="none"/>
        </w:rPr>
      </w:pPr>
      <w:r>
        <w:rPr>
          <w:rFonts w:hint="eastAsia" w:ascii="Times New Roman" w:hAnsi="Times New Roman" w:eastAsia="方正仿宋_GBK" w:cs="方正仿宋_GBK"/>
          <w:color w:val="auto"/>
          <w:sz w:val="32"/>
          <w:szCs w:val="32"/>
          <w:highlight w:val="none"/>
        </w:rPr>
        <w:fldChar w:fldCharType="end"/>
      </w:r>
    </w:p>
    <w:p w14:paraId="2B791CF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方正仿宋_GBK" w:cs="仿宋_GB2312"/>
          <w:b/>
          <w:bCs/>
          <w:color w:val="auto"/>
          <w:sz w:val="32"/>
          <w:szCs w:val="32"/>
          <w:highlight w:val="none"/>
          <w:lang w:eastAsia="zh-CN"/>
        </w:rPr>
      </w:pPr>
      <w:r>
        <w:rPr>
          <w:rFonts w:hint="eastAsia" w:ascii="Times New Roman" w:hAnsi="Times New Roman" w:eastAsia="方正仿宋_GBK" w:cs="仿宋_GB2312"/>
          <w:b/>
          <w:bCs/>
          <w:color w:val="auto"/>
          <w:sz w:val="32"/>
          <w:szCs w:val="32"/>
          <w:highlight w:val="none"/>
          <w:lang w:eastAsia="zh-CN"/>
        </w:rPr>
        <w:t>（</w:t>
      </w:r>
      <w:r>
        <w:rPr>
          <w:rFonts w:hint="eastAsia" w:ascii="Times New Roman" w:hAnsi="Times New Roman" w:eastAsia="方正仿宋_GBK" w:cs="仿宋_GB2312"/>
          <w:b/>
          <w:bCs/>
          <w:color w:val="auto"/>
          <w:sz w:val="32"/>
          <w:szCs w:val="32"/>
          <w:highlight w:val="none"/>
        </w:rPr>
        <w:t>注：请部门根据实际注明页码</w:t>
      </w:r>
      <w:r>
        <w:rPr>
          <w:rFonts w:hint="eastAsia" w:ascii="Times New Roman" w:hAnsi="Times New Roman" w:eastAsia="方正仿宋_GBK" w:cs="仿宋_GB2312"/>
          <w:b/>
          <w:bCs/>
          <w:color w:val="auto"/>
          <w:sz w:val="32"/>
          <w:szCs w:val="32"/>
          <w:highlight w:val="none"/>
          <w:lang w:eastAsia="zh-CN"/>
        </w:rPr>
        <w:t>）</w:t>
      </w:r>
    </w:p>
    <w:p w14:paraId="7A3E743D">
      <w:pPr>
        <w:pStyle w:val="3"/>
        <w:keepNext w:val="0"/>
        <w:keepLines w:val="0"/>
        <w:pageBreakBefore w:val="0"/>
        <w:widowControl w:val="0"/>
        <w:kinsoku/>
        <w:wordWrap/>
        <w:overflowPunct/>
        <w:topLinePunct w:val="0"/>
        <w:autoSpaceDN/>
        <w:bidi w:val="0"/>
        <w:adjustRightInd w:val="0"/>
        <w:snapToGrid w:val="0"/>
        <w:spacing w:before="0" w:after="0" w:line="580" w:lineRule="exact"/>
        <w:jc w:val="center"/>
        <w:textAlignment w:val="auto"/>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2098" w:right="1474" w:bottom="1984" w:left="1587" w:header="851" w:footer="1417" w:gutter="0"/>
          <w:pgNumType w:start="1"/>
          <w:cols w:space="720" w:num="1"/>
          <w:rtlGutter w:val="1"/>
          <w:docGrid w:type="lines" w:linePitch="440" w:charSpace="0"/>
        </w:sectPr>
      </w:pPr>
      <w:bookmarkStart w:id="6" w:name="_Toc15377196"/>
      <w:bookmarkStart w:id="7" w:name="_Toc15396599"/>
    </w:p>
    <w:p w14:paraId="14C40DBE">
      <w:pPr>
        <w:pStyle w:val="3"/>
        <w:keepNext w:val="0"/>
        <w:keepLines w:val="0"/>
        <w:pageBreakBefore w:val="0"/>
        <w:widowControl w:val="0"/>
        <w:kinsoku/>
        <w:wordWrap/>
        <w:overflowPunct/>
        <w:topLinePunct w:val="0"/>
        <w:autoSpaceDN/>
        <w:bidi w:val="0"/>
        <w:adjustRightInd w:val="0"/>
        <w:snapToGrid w:val="0"/>
        <w:spacing w:before="0" w:after="0" w:line="580" w:lineRule="exact"/>
        <w:jc w:val="center"/>
        <w:textAlignment w:val="auto"/>
        <w:rPr>
          <w:rFonts w:ascii="Times New Roman" w:hAnsi="Times New Roman" w:eastAsia="黑体"/>
          <w:color w:val="auto"/>
          <w:sz w:val="32"/>
          <w:szCs w:val="32"/>
          <w:highlight w:val="none"/>
        </w:rPr>
      </w:pPr>
      <w:bookmarkStart w:id="8" w:name="_Toc25973"/>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0"/>
          <w:rFonts w:hint="eastAsia" w:ascii="Times New Roman" w:hAnsi="Times New Roman" w:eastAsia="方正小标宋简体" w:cs="方正小标宋简体"/>
          <w:b w:val="0"/>
          <w:bCs w:val="0"/>
          <w:color w:val="auto"/>
          <w:highlight w:val="none"/>
        </w:rPr>
        <w:t>部门概况</w:t>
      </w:r>
      <w:bookmarkEnd w:id="6"/>
      <w:bookmarkEnd w:id="7"/>
      <w:bookmarkEnd w:id="8"/>
    </w:p>
    <w:p w14:paraId="1257AE3F">
      <w:pPr>
        <w:pStyle w:val="15"/>
        <w:keepNext w:val="0"/>
        <w:keepLines w:val="0"/>
        <w:pageBreakBefore w:val="0"/>
        <w:widowControl w:val="0"/>
        <w:suppressLineNumbers w:val="0"/>
        <w:suppressAutoHyphens/>
        <w:kinsoku/>
        <w:wordWrap/>
        <w:overflowPunct/>
        <w:topLinePunct w:val="0"/>
        <w:autoSpaceDE w:val="0"/>
        <w:autoSpaceDN/>
        <w:bidi w:val="0"/>
        <w:adjustRightInd w:val="0"/>
        <w:snapToGrid w:val="0"/>
        <w:spacing w:beforeAutospacing="0" w:afterAutospacing="0" w:line="580" w:lineRule="exact"/>
        <w:ind w:left="0" w:right="0" w:firstLine="640" w:firstLineChars="200"/>
        <w:jc w:val="both"/>
        <w:textAlignment w:val="auto"/>
        <w:rPr>
          <w:rFonts w:ascii="Times New Roman" w:hAnsi="Times New Roman" w:eastAsia="方正仿宋_GBK" w:cs="仿宋"/>
          <w:color w:val="000000"/>
          <w:kern w:val="2"/>
          <w:sz w:val="32"/>
          <w:szCs w:val="32"/>
          <w:lang w:val="en-US" w:eastAsia="zh-CN"/>
        </w:rPr>
      </w:pPr>
      <w:bookmarkStart w:id="9" w:name="_Toc15377204"/>
      <w:bookmarkStart w:id="10" w:name="_Toc15396602"/>
    </w:p>
    <w:p w14:paraId="1ADDD34B">
      <w:pPr>
        <w:pStyle w:val="15"/>
        <w:keepNext w:val="0"/>
        <w:keepLines w:val="0"/>
        <w:pageBreakBefore w:val="0"/>
        <w:widowControl w:val="0"/>
        <w:suppressLineNumbers w:val="0"/>
        <w:suppressAutoHyphens/>
        <w:kinsoku/>
        <w:wordWrap/>
        <w:overflowPunct/>
        <w:topLinePunct w:val="0"/>
        <w:autoSpaceDE w:val="0"/>
        <w:autoSpaceDN/>
        <w:bidi w:val="0"/>
        <w:adjustRightInd w:val="0"/>
        <w:snapToGrid w:val="0"/>
        <w:spacing w:beforeAutospacing="0" w:afterAutospacing="0" w:line="580" w:lineRule="exact"/>
        <w:ind w:left="0" w:right="0" w:firstLine="640" w:firstLineChars="200"/>
        <w:jc w:val="both"/>
        <w:textAlignment w:val="auto"/>
        <w:outlineLvl w:val="1"/>
        <w:rPr>
          <w:rFonts w:hint="eastAsia" w:ascii="Times New Roman" w:hAnsi="Times New Roman" w:eastAsia="方正黑体_GBK" w:cs="方正黑体_GBK"/>
          <w:color w:val="000000"/>
          <w:kern w:val="2"/>
          <w:sz w:val="32"/>
          <w:szCs w:val="32"/>
          <w:lang w:val="en-US" w:eastAsia="zh-CN"/>
        </w:rPr>
      </w:pPr>
      <w:bookmarkStart w:id="11" w:name="_Toc691"/>
      <w:r>
        <w:rPr>
          <w:rFonts w:hint="eastAsia" w:ascii="Times New Roman" w:hAnsi="Times New Roman" w:eastAsia="方正黑体_GBK" w:cs="方正黑体_GBK"/>
          <w:color w:val="000000"/>
          <w:kern w:val="2"/>
          <w:sz w:val="32"/>
          <w:szCs w:val="32"/>
          <w:lang w:val="en-US" w:eastAsia="zh-CN"/>
        </w:rPr>
        <w:t>一、部门职责</w:t>
      </w:r>
      <w:bookmarkEnd w:id="11"/>
    </w:p>
    <w:p w14:paraId="141B9FE6">
      <w:pPr>
        <w:pStyle w:val="15"/>
        <w:keepNext w:val="0"/>
        <w:keepLines w:val="0"/>
        <w:pageBreakBefore w:val="0"/>
        <w:widowControl w:val="0"/>
        <w:suppressLineNumbers w:val="0"/>
        <w:suppressAutoHyphens/>
        <w:kinsoku/>
        <w:wordWrap/>
        <w:overflowPunct/>
        <w:topLinePunct w:val="0"/>
        <w:autoSpaceDE w:val="0"/>
        <w:autoSpaceDN/>
        <w:bidi w:val="0"/>
        <w:adjustRightInd w:val="0"/>
        <w:snapToGrid w:val="0"/>
        <w:spacing w:beforeAutospacing="0" w:afterAutospacing="0" w:line="580" w:lineRule="exact"/>
        <w:ind w:left="0" w:right="0" w:firstLine="640" w:firstLineChars="200"/>
        <w:jc w:val="both"/>
        <w:textAlignment w:val="auto"/>
        <w:outlineLvl w:val="1"/>
        <w:rPr>
          <w:rFonts w:hint="eastAsia" w:ascii="Times New Roman" w:hAnsi="Times New Roman" w:eastAsia="方正仿宋_GBK" w:cs="方正仿宋_GBK"/>
          <w:kern w:val="2"/>
          <w:sz w:val="32"/>
          <w:szCs w:val="32"/>
          <w:lang w:val="en-US" w:eastAsia="zh-CN"/>
        </w:rPr>
      </w:pPr>
      <w:bookmarkStart w:id="12" w:name="_Toc17725"/>
      <w:r>
        <w:rPr>
          <w:rFonts w:ascii="Times New Roman" w:hAnsi="Times New Roman" w:eastAsia="方正仿宋_GBK" w:cs="方正仿宋_GBK"/>
          <w:kern w:val="2"/>
          <w:sz w:val="32"/>
          <w:szCs w:val="32"/>
          <w:lang w:val="en-US" w:eastAsia="zh-CN"/>
        </w:rPr>
        <w:t>按保密相关规定，不对外公开</w:t>
      </w:r>
      <w:r>
        <w:rPr>
          <w:rFonts w:hint="eastAsia" w:ascii="Times New Roman" w:hAnsi="Times New Roman" w:eastAsia="方正仿宋_GBK" w:cs="方正仿宋_GBK"/>
          <w:kern w:val="2"/>
          <w:sz w:val="32"/>
          <w:szCs w:val="32"/>
          <w:lang w:val="en-US" w:eastAsia="zh-CN"/>
        </w:rPr>
        <w:t>。</w:t>
      </w:r>
    </w:p>
    <w:p w14:paraId="09C2876C">
      <w:pPr>
        <w:pStyle w:val="15"/>
        <w:keepNext w:val="0"/>
        <w:keepLines w:val="0"/>
        <w:pageBreakBefore w:val="0"/>
        <w:widowControl w:val="0"/>
        <w:suppressLineNumbers w:val="0"/>
        <w:suppressAutoHyphens/>
        <w:kinsoku/>
        <w:wordWrap/>
        <w:overflowPunct/>
        <w:topLinePunct w:val="0"/>
        <w:autoSpaceDE w:val="0"/>
        <w:autoSpaceDN/>
        <w:bidi w:val="0"/>
        <w:adjustRightInd w:val="0"/>
        <w:snapToGrid w:val="0"/>
        <w:spacing w:beforeAutospacing="0" w:afterAutospacing="0" w:line="580" w:lineRule="exact"/>
        <w:ind w:left="0" w:right="0" w:firstLine="640" w:firstLineChars="200"/>
        <w:jc w:val="both"/>
        <w:textAlignment w:val="auto"/>
        <w:outlineLvl w:val="1"/>
        <w:rPr>
          <w:rFonts w:hint="eastAsia" w:ascii="Times New Roman" w:hAnsi="Times New Roman" w:eastAsia="方正黑体_GBK" w:cs="方正黑体_GBK"/>
          <w:color w:val="000000"/>
          <w:kern w:val="2"/>
          <w:sz w:val="32"/>
          <w:szCs w:val="32"/>
          <w:lang w:val="en-US" w:eastAsia="zh-CN"/>
        </w:rPr>
      </w:pPr>
      <w:r>
        <w:rPr>
          <w:rFonts w:hint="eastAsia" w:ascii="Times New Roman" w:hAnsi="Times New Roman" w:eastAsia="方正黑体_GBK" w:cs="方正黑体_GBK"/>
          <w:color w:val="000000"/>
          <w:kern w:val="2"/>
          <w:sz w:val="32"/>
          <w:szCs w:val="32"/>
          <w:lang w:val="en-US" w:eastAsia="zh-CN"/>
        </w:rPr>
        <w:t>二、机构设置</w:t>
      </w:r>
      <w:bookmarkEnd w:id="12"/>
    </w:p>
    <w:p w14:paraId="2E7EE1C9">
      <w:pPr>
        <w:pStyle w:val="15"/>
        <w:keepNext w:val="0"/>
        <w:keepLines w:val="0"/>
        <w:pageBreakBefore w:val="0"/>
        <w:widowControl w:val="0"/>
        <w:suppressLineNumbers w:val="0"/>
        <w:suppressAutoHyphens/>
        <w:kinsoku/>
        <w:wordWrap/>
        <w:overflowPunct/>
        <w:topLinePunct w:val="0"/>
        <w:autoSpaceDE w:val="0"/>
        <w:autoSpaceDN/>
        <w:bidi w:val="0"/>
        <w:adjustRightInd w:val="0"/>
        <w:snapToGrid w:val="0"/>
        <w:spacing w:beforeAutospacing="0" w:afterAutospacing="0" w:line="580" w:lineRule="exact"/>
        <w:ind w:left="0" w:right="0" w:firstLine="640" w:firstLineChars="200"/>
        <w:jc w:val="both"/>
        <w:textAlignment w:val="auto"/>
        <w:rPr>
          <w:rFonts w:hint="eastAsia" w:ascii="Times New Roman" w:hAnsi="Times New Roman" w:eastAsia="方正仿宋_GBK" w:cs="方正仿宋_GBK"/>
          <w:color w:val="000000"/>
          <w:kern w:val="2"/>
          <w:sz w:val="32"/>
          <w:szCs w:val="32"/>
          <w:lang w:val="en-US" w:eastAsia="zh-CN"/>
        </w:rPr>
      </w:pPr>
      <w:r>
        <w:rPr>
          <w:rFonts w:hint="eastAsia" w:ascii="Times New Roman" w:hAnsi="Times New Roman" w:eastAsia="方正仿宋_GBK" w:cs="方正仿宋_GBK"/>
          <w:color w:val="000000"/>
          <w:kern w:val="2"/>
          <w:sz w:val="32"/>
          <w:szCs w:val="32"/>
          <w:lang w:val="en-US" w:eastAsia="zh-CN"/>
        </w:rPr>
        <w:t>中共巴中市委宣传部下属二级</w:t>
      </w:r>
      <w:r>
        <w:rPr>
          <w:rFonts w:hint="eastAsia" w:eastAsia="方正仿宋_GBK" w:cs="方正仿宋_GBK"/>
          <w:color w:val="000000"/>
          <w:kern w:val="2"/>
          <w:sz w:val="32"/>
          <w:szCs w:val="32"/>
          <w:lang w:val="en-US" w:eastAsia="zh-CN"/>
        </w:rPr>
        <w:t>预算</w:t>
      </w:r>
      <w:r>
        <w:rPr>
          <w:rFonts w:hint="eastAsia" w:ascii="Times New Roman" w:hAnsi="Times New Roman" w:eastAsia="方正仿宋_GBK" w:cs="方正仿宋_GBK"/>
          <w:color w:val="000000"/>
          <w:kern w:val="2"/>
          <w:sz w:val="32"/>
          <w:szCs w:val="32"/>
          <w:lang w:val="en-US" w:eastAsia="zh-CN"/>
        </w:rPr>
        <w:t>单位</w:t>
      </w:r>
      <w:r>
        <w:rPr>
          <w:rFonts w:hint="eastAsia" w:eastAsia="方正仿宋_GBK" w:cs="方正仿宋_GBK"/>
          <w:color w:val="000000"/>
          <w:kern w:val="2"/>
          <w:sz w:val="32"/>
          <w:szCs w:val="32"/>
          <w:lang w:val="en-US" w:eastAsia="zh-CN"/>
        </w:rPr>
        <w:t>5</w:t>
      </w:r>
      <w:r>
        <w:rPr>
          <w:rFonts w:hint="eastAsia" w:ascii="Times New Roman" w:hAnsi="Times New Roman" w:eastAsia="方正仿宋_GBK" w:cs="方正仿宋_GBK"/>
          <w:color w:val="000000"/>
          <w:kern w:val="2"/>
          <w:sz w:val="32"/>
          <w:szCs w:val="32"/>
          <w:lang w:val="en-US" w:eastAsia="zh-CN"/>
        </w:rPr>
        <w:t>个，其中行政单位</w:t>
      </w:r>
      <w:r>
        <w:rPr>
          <w:rFonts w:hint="eastAsia" w:eastAsia="方正仿宋_GBK" w:cs="方正仿宋_GBK"/>
          <w:color w:val="000000"/>
          <w:kern w:val="2"/>
          <w:sz w:val="32"/>
          <w:szCs w:val="32"/>
          <w:lang w:val="en-US" w:eastAsia="zh-CN"/>
        </w:rPr>
        <w:t>2</w:t>
      </w:r>
      <w:r>
        <w:rPr>
          <w:rFonts w:hint="eastAsia" w:ascii="Times New Roman" w:hAnsi="Times New Roman" w:eastAsia="方正仿宋_GBK" w:cs="方正仿宋_GBK"/>
          <w:color w:val="000000"/>
          <w:kern w:val="2"/>
          <w:sz w:val="32"/>
          <w:szCs w:val="32"/>
          <w:lang w:val="en-US" w:eastAsia="zh-CN"/>
        </w:rPr>
        <w:t>个，参照公务员法管理的事业单位3个。</w:t>
      </w:r>
    </w:p>
    <w:p w14:paraId="19431A7A">
      <w:pPr>
        <w:pStyle w:val="15"/>
        <w:keepNext w:val="0"/>
        <w:keepLines w:val="0"/>
        <w:pageBreakBefore w:val="0"/>
        <w:widowControl w:val="0"/>
        <w:suppressLineNumbers w:val="0"/>
        <w:suppressAutoHyphens/>
        <w:kinsoku/>
        <w:wordWrap/>
        <w:overflowPunct/>
        <w:topLinePunct w:val="0"/>
        <w:autoSpaceDE w:val="0"/>
        <w:autoSpaceDN/>
        <w:bidi w:val="0"/>
        <w:adjustRightInd w:val="0"/>
        <w:snapToGrid w:val="0"/>
        <w:spacing w:beforeAutospacing="0" w:afterAutospacing="0" w:line="580" w:lineRule="exact"/>
        <w:ind w:left="0" w:right="0" w:firstLine="640" w:firstLineChars="200"/>
        <w:jc w:val="both"/>
        <w:textAlignment w:val="auto"/>
        <w:rPr>
          <w:rFonts w:hint="eastAsia" w:ascii="Times New Roman" w:hAnsi="Times New Roman" w:eastAsia="方正仿宋_GBK" w:cs="方正仿宋_GBK"/>
          <w:color w:val="000000"/>
          <w:kern w:val="2"/>
          <w:sz w:val="32"/>
          <w:szCs w:val="32"/>
          <w:lang w:val="en-US" w:eastAsia="zh-CN"/>
        </w:rPr>
      </w:pPr>
      <w:r>
        <w:rPr>
          <w:rFonts w:hint="eastAsia" w:ascii="Times New Roman" w:hAnsi="Times New Roman" w:eastAsia="方正仿宋_GBK" w:cs="方正仿宋_GBK"/>
          <w:color w:val="000000"/>
          <w:kern w:val="2"/>
          <w:sz w:val="32"/>
          <w:szCs w:val="32"/>
          <w:lang w:val="en-US" w:eastAsia="zh-CN"/>
        </w:rPr>
        <w:t>纳入中共巴中市委宣传部202</w:t>
      </w:r>
      <w:r>
        <w:rPr>
          <w:rFonts w:hint="eastAsia" w:eastAsia="方正仿宋_GBK" w:cs="方正仿宋_GBK"/>
          <w:color w:val="000000"/>
          <w:kern w:val="2"/>
          <w:sz w:val="32"/>
          <w:szCs w:val="32"/>
          <w:lang w:val="en-US" w:eastAsia="zh-CN"/>
        </w:rPr>
        <w:t>5</w:t>
      </w:r>
      <w:r>
        <w:rPr>
          <w:rFonts w:hint="eastAsia" w:ascii="Times New Roman" w:hAnsi="Times New Roman" w:eastAsia="方正仿宋_GBK" w:cs="方正仿宋_GBK"/>
          <w:color w:val="000000"/>
          <w:kern w:val="2"/>
          <w:sz w:val="32"/>
          <w:szCs w:val="32"/>
          <w:lang w:val="en-US" w:eastAsia="zh-CN"/>
        </w:rPr>
        <w:t>年度部门决算编制范围的二级预算单位包括：</w:t>
      </w:r>
    </w:p>
    <w:p w14:paraId="57C356FB">
      <w:pPr>
        <w:pStyle w:val="15"/>
        <w:keepNext w:val="0"/>
        <w:keepLines w:val="0"/>
        <w:pageBreakBefore w:val="0"/>
        <w:widowControl w:val="0"/>
        <w:suppressLineNumbers w:val="0"/>
        <w:suppressAutoHyphens/>
        <w:kinsoku/>
        <w:wordWrap/>
        <w:overflowPunct/>
        <w:topLinePunct w:val="0"/>
        <w:autoSpaceDE w:val="0"/>
        <w:autoSpaceDN/>
        <w:bidi w:val="0"/>
        <w:adjustRightInd w:val="0"/>
        <w:snapToGrid w:val="0"/>
        <w:spacing w:beforeAutospacing="0" w:afterAutospacing="0" w:line="580" w:lineRule="exact"/>
        <w:ind w:left="0" w:right="0" w:firstLine="640" w:firstLineChars="200"/>
        <w:jc w:val="both"/>
        <w:textAlignment w:val="auto"/>
        <w:rPr>
          <w:rFonts w:hint="eastAsia" w:ascii="Times New Roman" w:hAnsi="Times New Roman" w:eastAsia="方正仿宋_GBK" w:cs="方正仿宋_GBK"/>
          <w:color w:val="000000"/>
          <w:kern w:val="2"/>
          <w:sz w:val="32"/>
          <w:szCs w:val="32"/>
          <w:lang w:val="en-US" w:eastAsia="zh-CN"/>
        </w:rPr>
      </w:pPr>
      <w:r>
        <w:rPr>
          <w:rFonts w:hint="eastAsia" w:ascii="Times New Roman" w:hAnsi="Times New Roman" w:eastAsia="方正仿宋_GBK" w:cs="方正仿宋_GBK"/>
          <w:color w:val="000000"/>
          <w:kern w:val="2"/>
          <w:sz w:val="32"/>
          <w:szCs w:val="32"/>
          <w:lang w:val="en-US" w:eastAsia="zh-CN"/>
        </w:rPr>
        <w:t>1.中</w:t>
      </w:r>
      <w:r>
        <w:rPr>
          <w:rFonts w:hint="eastAsia" w:eastAsia="方正仿宋_GBK" w:cs="方正仿宋_GBK"/>
          <w:color w:val="000000"/>
          <w:kern w:val="2"/>
          <w:sz w:val="32"/>
          <w:szCs w:val="32"/>
          <w:lang w:val="en-US" w:eastAsia="zh-CN"/>
        </w:rPr>
        <w:t>共</w:t>
      </w:r>
      <w:r>
        <w:rPr>
          <w:rFonts w:hint="eastAsia" w:ascii="Times New Roman" w:hAnsi="Times New Roman" w:eastAsia="方正仿宋_GBK" w:cs="方正仿宋_GBK"/>
          <w:color w:val="000000"/>
          <w:kern w:val="2"/>
          <w:sz w:val="32"/>
          <w:szCs w:val="32"/>
          <w:lang w:val="en-US" w:eastAsia="zh-CN"/>
        </w:rPr>
        <w:t>巴中市委员会宣传部机关</w:t>
      </w:r>
    </w:p>
    <w:p w14:paraId="2FADBDD2">
      <w:pPr>
        <w:pStyle w:val="15"/>
        <w:keepNext w:val="0"/>
        <w:keepLines w:val="0"/>
        <w:pageBreakBefore w:val="0"/>
        <w:widowControl w:val="0"/>
        <w:suppressLineNumbers w:val="0"/>
        <w:suppressAutoHyphens/>
        <w:kinsoku/>
        <w:wordWrap/>
        <w:overflowPunct/>
        <w:topLinePunct w:val="0"/>
        <w:autoSpaceDE w:val="0"/>
        <w:autoSpaceDN/>
        <w:bidi w:val="0"/>
        <w:adjustRightInd w:val="0"/>
        <w:snapToGrid w:val="0"/>
        <w:spacing w:beforeAutospacing="0" w:afterAutospacing="0" w:line="580" w:lineRule="exact"/>
        <w:ind w:left="0" w:right="0" w:firstLine="640" w:firstLineChars="200"/>
        <w:jc w:val="both"/>
        <w:textAlignment w:val="auto"/>
        <w:rPr>
          <w:rFonts w:hint="eastAsia" w:ascii="Times New Roman" w:hAnsi="Times New Roman" w:eastAsia="方正仿宋_GBK" w:cs="方正仿宋_GBK"/>
          <w:color w:val="000000"/>
          <w:kern w:val="2"/>
          <w:sz w:val="32"/>
          <w:szCs w:val="32"/>
          <w:lang w:val="en-US" w:eastAsia="zh-CN"/>
        </w:rPr>
      </w:pPr>
      <w:r>
        <w:rPr>
          <w:rFonts w:hint="eastAsia" w:ascii="Times New Roman" w:hAnsi="Times New Roman" w:eastAsia="方正仿宋_GBK" w:cs="方正仿宋_GBK"/>
          <w:color w:val="000000"/>
          <w:kern w:val="2"/>
          <w:sz w:val="32"/>
          <w:szCs w:val="32"/>
          <w:lang w:val="en-US" w:eastAsia="zh-CN"/>
        </w:rPr>
        <w:t>2.</w:t>
      </w:r>
      <w:r>
        <w:rPr>
          <w:rFonts w:hint="eastAsia" w:ascii="Times New Roman" w:hAnsi="Times New Roman" w:eastAsia="方正仿宋_GBK" w:cs="Times New Roman"/>
          <w:color w:val="auto"/>
          <w:sz w:val="32"/>
          <w:szCs w:val="32"/>
          <w:vertAlign w:val="baseline"/>
          <w:lang w:val="en-US" w:eastAsia="zh-CN"/>
        </w:rPr>
        <w:t>中共巴中市委网络安全和信息化委员会办公室</w:t>
      </w:r>
    </w:p>
    <w:p w14:paraId="29A7E863">
      <w:pPr>
        <w:pStyle w:val="15"/>
        <w:keepNext w:val="0"/>
        <w:keepLines w:val="0"/>
        <w:pageBreakBefore w:val="0"/>
        <w:widowControl w:val="0"/>
        <w:suppressLineNumbers w:val="0"/>
        <w:suppressAutoHyphens/>
        <w:kinsoku/>
        <w:wordWrap/>
        <w:overflowPunct/>
        <w:topLinePunct w:val="0"/>
        <w:autoSpaceDE w:val="0"/>
        <w:autoSpaceDN/>
        <w:bidi w:val="0"/>
        <w:adjustRightInd w:val="0"/>
        <w:snapToGrid w:val="0"/>
        <w:spacing w:beforeAutospacing="0" w:afterAutospacing="0" w:line="580" w:lineRule="exact"/>
        <w:ind w:left="0" w:right="0" w:firstLine="640" w:firstLineChars="200"/>
        <w:jc w:val="both"/>
        <w:textAlignment w:val="auto"/>
        <w:rPr>
          <w:rFonts w:hint="eastAsia" w:ascii="Times New Roman" w:hAnsi="Times New Roman" w:eastAsia="方正仿宋_GBK" w:cs="方正仿宋_GBK"/>
          <w:color w:val="000000"/>
          <w:kern w:val="2"/>
          <w:sz w:val="32"/>
          <w:szCs w:val="32"/>
          <w:lang w:val="en-US" w:eastAsia="zh-CN"/>
        </w:rPr>
      </w:pPr>
      <w:r>
        <w:rPr>
          <w:rFonts w:hint="eastAsia" w:ascii="Times New Roman" w:hAnsi="Times New Roman" w:eastAsia="方正仿宋_GBK" w:cs="方正仿宋_GBK"/>
          <w:color w:val="000000"/>
          <w:kern w:val="2"/>
          <w:sz w:val="32"/>
          <w:szCs w:val="32"/>
          <w:lang w:val="en-US" w:eastAsia="zh-CN"/>
        </w:rPr>
        <w:t>3.巴中市文学艺术界联合会</w:t>
      </w:r>
    </w:p>
    <w:p w14:paraId="3F07DACE">
      <w:pPr>
        <w:pStyle w:val="15"/>
        <w:keepNext w:val="0"/>
        <w:keepLines w:val="0"/>
        <w:pageBreakBefore w:val="0"/>
        <w:widowControl w:val="0"/>
        <w:suppressLineNumbers w:val="0"/>
        <w:suppressAutoHyphens/>
        <w:kinsoku/>
        <w:wordWrap/>
        <w:overflowPunct/>
        <w:topLinePunct w:val="0"/>
        <w:autoSpaceDE w:val="0"/>
        <w:autoSpaceDN/>
        <w:bidi w:val="0"/>
        <w:adjustRightInd w:val="0"/>
        <w:snapToGrid w:val="0"/>
        <w:spacing w:beforeAutospacing="0" w:afterAutospacing="0" w:line="580" w:lineRule="exact"/>
        <w:ind w:left="0" w:right="0" w:firstLine="640" w:firstLineChars="200"/>
        <w:jc w:val="both"/>
        <w:textAlignment w:val="auto"/>
        <w:rPr>
          <w:rFonts w:hint="eastAsia" w:ascii="Times New Roman" w:hAnsi="Times New Roman" w:eastAsia="方正仿宋_GBK" w:cs="方正仿宋_GBK"/>
          <w:color w:val="000000"/>
          <w:kern w:val="2"/>
          <w:sz w:val="32"/>
          <w:szCs w:val="32"/>
          <w:lang w:val="en-US" w:eastAsia="zh-CN"/>
        </w:rPr>
      </w:pPr>
      <w:r>
        <w:rPr>
          <w:rFonts w:hint="eastAsia" w:ascii="Times New Roman" w:hAnsi="Times New Roman" w:eastAsia="方正仿宋_GBK" w:cs="方正仿宋_GBK"/>
          <w:color w:val="000000"/>
          <w:kern w:val="2"/>
          <w:sz w:val="32"/>
          <w:szCs w:val="32"/>
          <w:lang w:val="en-US" w:eastAsia="zh-CN"/>
        </w:rPr>
        <w:t>4.巴中市作家协会</w:t>
      </w:r>
    </w:p>
    <w:p w14:paraId="66F60DAB">
      <w:pPr>
        <w:pStyle w:val="15"/>
        <w:keepNext w:val="0"/>
        <w:keepLines w:val="0"/>
        <w:pageBreakBefore w:val="0"/>
        <w:widowControl w:val="0"/>
        <w:suppressLineNumbers w:val="0"/>
        <w:suppressAutoHyphens/>
        <w:kinsoku/>
        <w:wordWrap/>
        <w:overflowPunct/>
        <w:topLinePunct w:val="0"/>
        <w:autoSpaceDE w:val="0"/>
        <w:autoSpaceDN/>
        <w:bidi w:val="0"/>
        <w:adjustRightInd w:val="0"/>
        <w:snapToGrid w:val="0"/>
        <w:spacing w:beforeAutospacing="0" w:afterAutospacing="0" w:line="580" w:lineRule="exact"/>
        <w:ind w:left="0" w:right="0" w:firstLine="640" w:firstLineChars="200"/>
        <w:jc w:val="both"/>
        <w:textAlignment w:val="auto"/>
        <w:rPr>
          <w:rFonts w:ascii="Times New Roman" w:hAnsi="Times New Roman" w:eastAsia="方正仿宋_GBK" w:cs="方正仿宋_GBK"/>
          <w:color w:val="000000"/>
          <w:kern w:val="2"/>
          <w:sz w:val="32"/>
          <w:szCs w:val="32"/>
          <w:lang w:val="en-US" w:eastAsia="zh-CN"/>
        </w:rPr>
      </w:pPr>
      <w:r>
        <w:rPr>
          <w:rFonts w:hint="eastAsia" w:eastAsia="方正仿宋_GBK" w:cs="方正仿宋_GBK"/>
          <w:color w:val="000000"/>
          <w:kern w:val="2"/>
          <w:sz w:val="32"/>
          <w:szCs w:val="32"/>
          <w:lang w:val="en-US" w:eastAsia="zh-CN"/>
        </w:rPr>
        <w:t>5.</w:t>
      </w:r>
      <w:r>
        <w:rPr>
          <w:rFonts w:hint="eastAsia" w:ascii="Times New Roman" w:hAnsi="Times New Roman" w:eastAsia="方正仿宋_GBK" w:cs="方正仿宋_GBK"/>
          <w:color w:val="000000"/>
          <w:kern w:val="2"/>
          <w:sz w:val="32"/>
          <w:szCs w:val="32"/>
          <w:lang w:val="en-US" w:eastAsia="zh-CN"/>
        </w:rPr>
        <w:t>巴中市哲学社会科学联合会</w:t>
      </w:r>
    </w:p>
    <w:p w14:paraId="79E6A3C7">
      <w:pPr>
        <w:pStyle w:val="15"/>
        <w:keepNext w:val="0"/>
        <w:keepLines w:val="0"/>
        <w:pageBreakBefore w:val="0"/>
        <w:widowControl w:val="0"/>
        <w:suppressLineNumbers w:val="0"/>
        <w:suppressAutoHyphens/>
        <w:kinsoku/>
        <w:wordWrap/>
        <w:overflowPunct/>
        <w:topLinePunct w:val="0"/>
        <w:autoSpaceDE w:val="0"/>
        <w:autoSpaceDN/>
        <w:bidi w:val="0"/>
        <w:adjustRightInd w:val="0"/>
        <w:snapToGrid w:val="0"/>
        <w:spacing w:beforeAutospacing="0" w:afterAutospacing="0" w:line="580" w:lineRule="exact"/>
        <w:ind w:left="0" w:right="0" w:firstLine="640" w:firstLineChars="200"/>
        <w:jc w:val="both"/>
        <w:textAlignment w:val="auto"/>
        <w:rPr>
          <w:rFonts w:ascii="Times New Roman" w:hAnsi="Times New Roman" w:eastAsia="方正仿宋_GBK" w:cs="仿宋"/>
          <w:color w:val="000000"/>
          <w:kern w:val="2"/>
          <w:sz w:val="32"/>
          <w:szCs w:val="32"/>
          <w:lang w:val="en-US" w:eastAsia="zh-CN"/>
        </w:rPr>
      </w:pPr>
    </w:p>
    <w:p w14:paraId="1D022342">
      <w:pPr>
        <w:pStyle w:val="15"/>
        <w:keepNext w:val="0"/>
        <w:keepLines w:val="0"/>
        <w:pageBreakBefore w:val="0"/>
        <w:widowControl w:val="0"/>
        <w:suppressLineNumbers w:val="0"/>
        <w:suppressAutoHyphens/>
        <w:kinsoku/>
        <w:wordWrap/>
        <w:overflowPunct/>
        <w:topLinePunct w:val="0"/>
        <w:autoSpaceDE w:val="0"/>
        <w:autoSpaceDN/>
        <w:bidi w:val="0"/>
        <w:adjustRightInd w:val="0"/>
        <w:snapToGrid w:val="0"/>
        <w:spacing w:beforeAutospacing="0" w:afterAutospacing="0" w:line="580" w:lineRule="exact"/>
        <w:ind w:left="0" w:right="0" w:firstLine="640" w:firstLineChars="200"/>
        <w:jc w:val="both"/>
        <w:textAlignment w:val="auto"/>
        <w:rPr>
          <w:rFonts w:ascii="Times New Roman" w:hAnsi="Times New Roman" w:eastAsia="方正仿宋_GBK" w:cs="仿宋"/>
          <w:color w:val="000000"/>
          <w:kern w:val="2"/>
          <w:sz w:val="32"/>
          <w:szCs w:val="32"/>
          <w:lang w:val="en-US" w:eastAsia="zh-CN"/>
        </w:rPr>
      </w:pPr>
    </w:p>
    <w:p w14:paraId="10AE3D97">
      <w:pPr>
        <w:keepNext w:val="0"/>
        <w:keepLines w:val="0"/>
        <w:pageBreakBefore w:val="0"/>
        <w:widowControl w:val="0"/>
        <w:kinsoku/>
        <w:wordWrap/>
        <w:overflowPunct/>
        <w:topLinePunct w:val="0"/>
        <w:autoSpaceDN/>
        <w:bidi w:val="0"/>
        <w:textAlignment w:val="auto"/>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br w:type="page"/>
      </w:r>
    </w:p>
    <w:p w14:paraId="261B90F0">
      <w:pPr>
        <w:pStyle w:val="3"/>
        <w:keepNext w:val="0"/>
        <w:keepLines w:val="0"/>
        <w:pageBreakBefore w:val="0"/>
        <w:widowControl w:val="0"/>
        <w:kinsoku/>
        <w:wordWrap/>
        <w:overflowPunct/>
        <w:topLinePunct w:val="0"/>
        <w:autoSpaceDN/>
        <w:bidi w:val="0"/>
        <w:adjustRightInd w:val="0"/>
        <w:snapToGrid w:val="0"/>
        <w:spacing w:before="0" w:after="0" w:line="580" w:lineRule="exact"/>
        <w:jc w:val="center"/>
        <w:textAlignment w:val="auto"/>
        <w:rPr>
          <w:rFonts w:hint="eastAsia" w:ascii="Times New Roman" w:hAnsi="Times New Roman" w:eastAsia="方正小标宋简体" w:cs="方正小标宋简体"/>
          <w:b w:val="0"/>
          <w:color w:val="auto"/>
          <w:highlight w:val="none"/>
        </w:rPr>
      </w:pPr>
      <w:bookmarkStart w:id="13" w:name="_Toc31486"/>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9"/>
      <w:bookmarkEnd w:id="10"/>
      <w:bookmarkEnd w:id="13"/>
    </w:p>
    <w:p w14:paraId="744BE16C">
      <w:pPr>
        <w:keepNext w:val="0"/>
        <w:keepLines w:val="0"/>
        <w:pageBreakBefore w:val="0"/>
        <w:widowControl w:val="0"/>
        <w:kinsoku/>
        <w:wordWrap/>
        <w:overflowPunct/>
        <w:topLinePunct w:val="0"/>
        <w:autoSpaceDN/>
        <w:bidi w:val="0"/>
        <w:adjustRightInd w:val="0"/>
        <w:snapToGrid w:val="0"/>
        <w:spacing w:line="580" w:lineRule="exact"/>
        <w:ind w:left="0" w:firstLine="420" w:firstLineChars="200"/>
        <w:textAlignment w:val="auto"/>
        <w:rPr>
          <w:rFonts w:ascii="Times New Roman" w:hAnsi="Times New Roman" w:eastAsia="方正仿宋_GBK"/>
          <w:color w:val="auto"/>
          <w:highlight w:val="none"/>
        </w:rPr>
      </w:pPr>
    </w:p>
    <w:p w14:paraId="78912F82">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Style w:val="21"/>
          <w:rFonts w:hint="eastAsia" w:ascii="Times New Roman" w:hAnsi="Times New Roman" w:eastAsia="方正黑体_GBK" w:cs="方正黑体_GBK"/>
          <w:b w:val="0"/>
          <w:color w:val="auto"/>
          <w:highlight w:val="none"/>
        </w:rPr>
      </w:pPr>
      <w:bookmarkStart w:id="14" w:name="_Toc15626"/>
      <w:bookmarkStart w:id="15" w:name="_Toc15396603"/>
      <w:bookmarkStart w:id="16" w:name="_Toc15377205"/>
      <w:r>
        <w:rPr>
          <w:rFonts w:hint="eastAsia" w:ascii="Times New Roman" w:hAnsi="Times New Roman" w:eastAsia="方正黑体_GBK" w:cs="方正黑体_GBK"/>
          <w:color w:val="auto"/>
          <w:sz w:val="32"/>
          <w:szCs w:val="32"/>
          <w:highlight w:val="none"/>
          <w:lang w:eastAsia="zh-CN"/>
        </w:rPr>
        <w:t>一、</w:t>
      </w:r>
      <w:r>
        <w:rPr>
          <w:rFonts w:hint="eastAsia" w:ascii="Times New Roman" w:hAnsi="Times New Roman" w:eastAsia="方正黑体_GBK" w:cs="方正黑体_GBK"/>
          <w:color w:val="auto"/>
          <w:sz w:val="32"/>
          <w:szCs w:val="32"/>
          <w:highlight w:val="none"/>
        </w:rPr>
        <w:t>收</w:t>
      </w:r>
      <w:r>
        <w:rPr>
          <w:rStyle w:val="21"/>
          <w:rFonts w:hint="eastAsia" w:ascii="Times New Roman" w:hAnsi="Times New Roman" w:eastAsia="方正黑体_GBK" w:cs="方正黑体_GBK"/>
          <w:b w:val="0"/>
          <w:color w:val="auto"/>
          <w:highlight w:val="none"/>
        </w:rPr>
        <w:t>入支出决算总体情况说明</w:t>
      </w:r>
      <w:bookmarkEnd w:id="14"/>
      <w:bookmarkEnd w:id="15"/>
      <w:bookmarkEnd w:id="16"/>
    </w:p>
    <w:p w14:paraId="64975022">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仿宋_GBK" w:cs="仿宋_GB2312"/>
          <w:color w:val="auto"/>
          <w:sz w:val="32"/>
          <w:szCs w:val="32"/>
          <w:highlight w:val="none"/>
          <w:lang w:eastAsia="zh-CN"/>
        </w:rPr>
      </w:pPr>
      <w:r>
        <w:rPr>
          <w:rFonts w:hint="eastAsia" w:ascii="Times New Roman" w:hAnsi="Times New Roman" w:eastAsia="方正仿宋_GBK" w:cs="仿宋_GB2312"/>
          <w:color w:val="auto"/>
          <w:sz w:val="32"/>
          <w:szCs w:val="32"/>
          <w:highlight w:val="none"/>
          <w:lang w:eastAsia="zh-CN"/>
        </w:rPr>
        <w:t>202</w:t>
      </w:r>
      <w:r>
        <w:rPr>
          <w:rFonts w:hint="eastAsia" w:eastAsia="方正仿宋_GBK" w:cs="仿宋_GB2312"/>
          <w:color w:val="auto"/>
          <w:sz w:val="32"/>
          <w:szCs w:val="32"/>
          <w:highlight w:val="none"/>
          <w:lang w:val="en-US" w:eastAsia="zh-CN"/>
        </w:rPr>
        <w:t>5</w:t>
      </w:r>
      <w:r>
        <w:rPr>
          <w:rFonts w:hint="eastAsia" w:ascii="Times New Roman" w:hAnsi="Times New Roman" w:eastAsia="方正仿宋_GBK" w:cs="仿宋_GB2312"/>
          <w:color w:val="auto"/>
          <w:sz w:val="32"/>
          <w:szCs w:val="32"/>
          <w:highlight w:val="none"/>
          <w:lang w:eastAsia="zh-CN"/>
        </w:rPr>
        <w:t>年度收入</w:t>
      </w:r>
      <w:r>
        <w:rPr>
          <w:rFonts w:hint="eastAsia" w:ascii="Times New Roman" w:hAnsi="Times New Roman" w:eastAsia="方正仿宋_GBK" w:cs="仿宋_GB2312"/>
          <w:color w:val="auto"/>
          <w:sz w:val="32"/>
          <w:szCs w:val="32"/>
          <w:highlight w:val="none"/>
        </w:rPr>
        <w:t>、</w:t>
      </w:r>
      <w:r>
        <w:rPr>
          <w:rFonts w:hint="eastAsia" w:ascii="Times New Roman" w:hAnsi="Times New Roman" w:eastAsia="方正仿宋_GBK" w:cs="仿宋_GB2312"/>
          <w:color w:val="auto"/>
          <w:sz w:val="32"/>
          <w:szCs w:val="32"/>
          <w:highlight w:val="none"/>
          <w:lang w:eastAsia="zh-CN"/>
        </w:rPr>
        <w:t>支出</w:t>
      </w:r>
      <w:r>
        <w:rPr>
          <w:rFonts w:hint="eastAsia" w:ascii="Times New Roman" w:hAnsi="Times New Roman" w:eastAsia="方正仿宋_GBK" w:cs="仿宋_GB2312"/>
          <w:color w:val="auto"/>
          <w:sz w:val="32"/>
          <w:szCs w:val="32"/>
          <w:highlight w:val="none"/>
        </w:rPr>
        <w:t>总计</w:t>
      </w:r>
      <w:r>
        <w:rPr>
          <w:rFonts w:hint="eastAsia" w:ascii="Times New Roman" w:hAnsi="Times New Roman" w:eastAsia="方正仿宋_GBK" w:cs="仿宋_GB2312"/>
          <w:color w:val="auto"/>
          <w:sz w:val="32"/>
          <w:szCs w:val="32"/>
          <w:highlight w:val="none"/>
          <w:lang w:eastAsia="zh-CN"/>
        </w:rPr>
        <w:t>均为</w:t>
      </w:r>
      <w:r>
        <w:rPr>
          <w:rFonts w:hint="eastAsia" w:eastAsia="方正仿宋_GBK" w:cs="仿宋_GB2312"/>
          <w:color w:val="auto"/>
          <w:sz w:val="32"/>
          <w:szCs w:val="32"/>
          <w:highlight w:val="none"/>
          <w:lang w:val="en-US" w:eastAsia="zh-CN"/>
        </w:rPr>
        <w:t>3298.85</w:t>
      </w:r>
      <w:r>
        <w:rPr>
          <w:rFonts w:hint="eastAsia" w:ascii="Times New Roman" w:hAnsi="Times New Roman" w:eastAsia="方正仿宋_GBK" w:cs="仿宋_GB2312"/>
          <w:color w:val="auto"/>
          <w:sz w:val="32"/>
          <w:szCs w:val="32"/>
          <w:highlight w:val="none"/>
        </w:rPr>
        <w:t>万元。与</w:t>
      </w:r>
      <w:r>
        <w:rPr>
          <w:rFonts w:hint="eastAsia" w:eastAsia="方正仿宋_GBK" w:cs="仿宋_GB2312"/>
          <w:color w:val="auto"/>
          <w:sz w:val="32"/>
          <w:szCs w:val="32"/>
          <w:highlight w:val="none"/>
          <w:lang w:eastAsia="zh-CN"/>
        </w:rPr>
        <w:t>上</w:t>
      </w:r>
      <w:r>
        <w:rPr>
          <w:rFonts w:hint="eastAsia" w:ascii="Times New Roman" w:hAnsi="Times New Roman" w:eastAsia="方正仿宋_GBK" w:cs="仿宋_GB2312"/>
          <w:color w:val="auto"/>
          <w:sz w:val="32"/>
          <w:szCs w:val="32"/>
          <w:highlight w:val="none"/>
        </w:rPr>
        <w:t>年</w:t>
      </w:r>
      <w:r>
        <w:rPr>
          <w:rFonts w:hint="eastAsia" w:ascii="Times New Roman" w:hAnsi="Times New Roman" w:eastAsia="方正仿宋_GBK" w:cs="仿宋_GB2312"/>
          <w:color w:val="auto"/>
          <w:sz w:val="32"/>
          <w:szCs w:val="32"/>
          <w:highlight w:val="none"/>
          <w:lang w:eastAsia="zh-CN"/>
        </w:rPr>
        <w:t>度</w:t>
      </w:r>
      <w:r>
        <w:rPr>
          <w:rFonts w:hint="eastAsia" w:ascii="Times New Roman" w:hAnsi="Times New Roman" w:eastAsia="方正仿宋_GBK" w:cs="仿宋_GB2312"/>
          <w:color w:val="auto"/>
          <w:sz w:val="32"/>
          <w:szCs w:val="32"/>
          <w:highlight w:val="none"/>
        </w:rPr>
        <w:t>相比，</w:t>
      </w:r>
      <w:r>
        <w:rPr>
          <w:rFonts w:hint="eastAsia" w:ascii="Times New Roman" w:hAnsi="Times New Roman" w:eastAsia="方正仿宋_GBK" w:cs="仿宋_GB2312"/>
          <w:color w:val="auto"/>
          <w:sz w:val="32"/>
          <w:szCs w:val="32"/>
          <w:highlight w:val="none"/>
          <w:lang w:eastAsia="zh-CN"/>
        </w:rPr>
        <w:t>收入</w:t>
      </w:r>
      <w:r>
        <w:rPr>
          <w:rFonts w:hint="eastAsia" w:eastAsia="方正仿宋_GBK" w:cs="仿宋_GB2312"/>
          <w:color w:val="auto"/>
          <w:sz w:val="32"/>
          <w:szCs w:val="32"/>
          <w:highlight w:val="none"/>
          <w:lang w:eastAsia="zh-CN"/>
        </w:rPr>
        <w:t>、支出</w:t>
      </w:r>
      <w:r>
        <w:rPr>
          <w:rFonts w:hint="eastAsia" w:ascii="Times New Roman" w:hAnsi="Times New Roman" w:eastAsia="方正仿宋_GBK" w:cs="仿宋_GB2312"/>
          <w:color w:val="auto"/>
          <w:sz w:val="32"/>
          <w:szCs w:val="32"/>
          <w:highlight w:val="none"/>
          <w:lang w:eastAsia="zh-CN"/>
        </w:rPr>
        <w:t>总计</w:t>
      </w:r>
      <w:r>
        <w:rPr>
          <w:rFonts w:hint="eastAsia" w:eastAsia="方正仿宋_GBK" w:cs="仿宋_GB2312"/>
          <w:color w:val="auto"/>
          <w:sz w:val="32"/>
          <w:szCs w:val="32"/>
          <w:highlight w:val="none"/>
          <w:lang w:eastAsia="zh-CN"/>
        </w:rPr>
        <w:t>各减少</w:t>
      </w:r>
      <w:r>
        <w:rPr>
          <w:rFonts w:hint="eastAsia" w:eastAsia="方正仿宋_GBK" w:cs="仿宋_GB2312"/>
          <w:color w:val="auto"/>
          <w:sz w:val="32"/>
          <w:szCs w:val="32"/>
          <w:highlight w:val="none"/>
          <w:lang w:val="en-US" w:eastAsia="zh-CN"/>
        </w:rPr>
        <w:t>531.97</w:t>
      </w:r>
      <w:r>
        <w:rPr>
          <w:rFonts w:hint="eastAsia" w:ascii="Times New Roman" w:hAnsi="Times New Roman" w:eastAsia="方正仿宋_GBK" w:cs="仿宋_GB2312"/>
          <w:color w:val="auto"/>
          <w:sz w:val="32"/>
          <w:szCs w:val="32"/>
          <w:highlight w:val="none"/>
        </w:rPr>
        <w:t>万元，下降</w:t>
      </w:r>
      <w:r>
        <w:rPr>
          <w:rFonts w:hint="eastAsia" w:eastAsia="方正仿宋_GBK" w:cs="仿宋_GB2312"/>
          <w:color w:val="auto"/>
          <w:sz w:val="32"/>
          <w:szCs w:val="32"/>
          <w:highlight w:val="none"/>
          <w:lang w:val="en-US" w:eastAsia="zh-CN"/>
        </w:rPr>
        <w:t>13.88</w:t>
      </w:r>
      <w:r>
        <w:rPr>
          <w:rFonts w:hint="eastAsia" w:ascii="Times New Roman" w:hAnsi="Times New Roman" w:eastAsia="方正仿宋_GBK" w:cs="仿宋_GB2312"/>
          <w:color w:val="auto"/>
          <w:sz w:val="32"/>
          <w:szCs w:val="32"/>
          <w:highlight w:val="none"/>
        </w:rPr>
        <w:t>%。主要变动原因是</w:t>
      </w:r>
      <w:r>
        <w:rPr>
          <w:rFonts w:hint="eastAsia" w:ascii="Times New Roman" w:hAnsi="Times New Roman" w:eastAsia="方正仿宋_GBK" w:cs="仿宋_GB2312"/>
          <w:color w:val="auto"/>
          <w:sz w:val="32"/>
          <w:szCs w:val="32"/>
          <w:highlight w:val="none"/>
          <w:lang w:eastAsia="zh-CN"/>
        </w:rPr>
        <w:t>全国文明城市创建工作等项目经费减少。</w:t>
      </w:r>
    </w:p>
    <w:p w14:paraId="509C5962">
      <w:pPr>
        <w:pStyle w:val="29"/>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Fonts w:hint="eastAsia" w:ascii="Times New Roman" w:hAnsi="Times New Roman" w:eastAsia="方正仿宋_GBK" w:cs="仿宋_GB2312"/>
          <w:color w:val="auto"/>
          <w:sz w:val="32"/>
          <w:szCs w:val="32"/>
          <w:highlight w:val="none"/>
          <w:lang w:eastAsia="zh-CN"/>
        </w:rPr>
      </w:pPr>
    </w:p>
    <w:p w14:paraId="6E3B9B8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仿宋_GB2312"/>
          <w:color w:val="auto"/>
          <w:sz w:val="32"/>
          <w:szCs w:val="32"/>
          <w:highlight w:val="none"/>
        </w:rPr>
      </w:pPr>
      <w:r>
        <w:rPr>
          <w:rFonts w:hint="eastAsia" w:ascii="Times New Roman" w:hAnsi="Times New Roman" w:eastAsia="方正仿宋_GBK" w:cs="仿宋_GB2312"/>
          <w:color w:val="auto"/>
          <w:sz w:val="32"/>
          <w:szCs w:val="32"/>
          <w:highlight w:val="none"/>
          <w:lang w:eastAsia="zh-CN"/>
        </w:rPr>
        <w:drawing>
          <wp:inline distT="0" distB="0" distL="114300" distR="114300">
            <wp:extent cx="5256530" cy="2988310"/>
            <wp:effectExtent l="0" t="0" r="0" b="0"/>
            <wp:docPr id="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7030ECA">
      <w:pPr>
        <w:pStyle w:val="23"/>
        <w:keepNext w:val="0"/>
        <w:keepLines w:val="0"/>
        <w:pageBreakBefore w:val="0"/>
        <w:widowControl w:val="0"/>
        <w:kinsoku/>
        <w:wordWrap/>
        <w:overflowPunct/>
        <w:topLinePunct w:val="0"/>
        <w:autoSpaceDN/>
        <w:bidi w:val="0"/>
        <w:ind w:left="0" w:firstLine="0" w:firstLineChars="0"/>
        <w:textAlignment w:val="auto"/>
        <w:rPr>
          <w:rFonts w:hint="eastAsia" w:ascii="Times New Roman" w:hAnsi="Times New Roman" w:eastAsia="方正仿宋_GBK"/>
        </w:rPr>
      </w:pPr>
    </w:p>
    <w:p w14:paraId="4B88E85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Times New Roman" w:hAnsi="Times New Roman" w:eastAsia="方正仿宋_GBK" w:cs="仿宋_GB2312"/>
          <w:color w:val="auto"/>
          <w:sz w:val="28"/>
          <w:szCs w:val="28"/>
          <w:highlight w:val="none"/>
        </w:rPr>
      </w:pPr>
      <w:r>
        <w:rPr>
          <w:rFonts w:hint="eastAsia" w:ascii="Times New Roman" w:hAnsi="Times New Roman" w:eastAsia="方正仿宋_GBK" w:cs="仿宋_GB2312"/>
          <w:color w:val="auto"/>
          <w:sz w:val="28"/>
          <w:szCs w:val="28"/>
          <w:highlight w:val="none"/>
        </w:rPr>
        <w:t>（图1：</w:t>
      </w:r>
      <w:r>
        <w:rPr>
          <w:rFonts w:hint="eastAsia" w:ascii="Times New Roman" w:hAnsi="Times New Roman" w:eastAsia="方正仿宋_GBK" w:cs="仿宋_GB2312"/>
          <w:color w:val="auto"/>
          <w:sz w:val="28"/>
          <w:szCs w:val="28"/>
          <w:highlight w:val="none"/>
          <w:lang w:eastAsia="zh-CN"/>
        </w:rPr>
        <w:t>收入</w:t>
      </w:r>
      <w:r>
        <w:rPr>
          <w:rFonts w:hint="eastAsia" w:ascii="Times New Roman" w:hAnsi="Times New Roman" w:eastAsia="方正仿宋_GBK" w:cs="仿宋_GB2312"/>
          <w:color w:val="auto"/>
          <w:sz w:val="28"/>
          <w:szCs w:val="28"/>
          <w:highlight w:val="none"/>
        </w:rPr>
        <w:t>、</w:t>
      </w:r>
      <w:r>
        <w:rPr>
          <w:rFonts w:hint="eastAsia" w:ascii="Times New Roman" w:hAnsi="Times New Roman" w:eastAsia="方正仿宋_GBK" w:cs="仿宋_GB2312"/>
          <w:color w:val="auto"/>
          <w:sz w:val="28"/>
          <w:szCs w:val="28"/>
          <w:highlight w:val="none"/>
          <w:lang w:eastAsia="zh-CN"/>
        </w:rPr>
        <w:t>支出</w:t>
      </w:r>
      <w:r>
        <w:rPr>
          <w:rFonts w:hint="eastAsia" w:ascii="Times New Roman" w:hAnsi="Times New Roman" w:eastAsia="方正仿宋_GBK" w:cs="仿宋_GB2312"/>
          <w:color w:val="auto"/>
          <w:sz w:val="28"/>
          <w:szCs w:val="28"/>
          <w:highlight w:val="none"/>
        </w:rPr>
        <w:t>决算总计变动情况图）（柱状图）</w:t>
      </w:r>
    </w:p>
    <w:p w14:paraId="190E9D3C">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17" w:name="_Toc15377206"/>
      <w:bookmarkStart w:id="18" w:name="_Toc31400"/>
      <w:bookmarkStart w:id="19" w:name="_Toc15396604"/>
      <w:r>
        <w:rPr>
          <w:rFonts w:hint="eastAsia" w:ascii="Times New Roman" w:hAnsi="Times New Roman" w:eastAsia="方正黑体_GBK" w:cs="方正黑体_GBK"/>
          <w:color w:val="auto"/>
          <w:sz w:val="32"/>
          <w:szCs w:val="32"/>
          <w:highlight w:val="none"/>
          <w:lang w:eastAsia="zh-CN"/>
        </w:rPr>
        <w:t>二、收入决算情况说明</w:t>
      </w:r>
      <w:bookmarkEnd w:id="17"/>
      <w:bookmarkEnd w:id="18"/>
      <w:bookmarkEnd w:id="19"/>
    </w:p>
    <w:p w14:paraId="30F1FBD8">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仿宋_GBK" w:cs="仿宋_GB2312"/>
          <w:color w:val="auto"/>
          <w:sz w:val="32"/>
          <w:szCs w:val="32"/>
          <w:highlight w:val="none"/>
          <w:lang w:eastAsia="zh-CN"/>
        </w:rPr>
      </w:pPr>
      <w:r>
        <w:rPr>
          <w:rFonts w:hint="eastAsia" w:ascii="Times New Roman" w:hAnsi="Times New Roman" w:eastAsia="方正仿宋_GBK" w:cs="仿宋_GB2312"/>
          <w:color w:val="auto"/>
          <w:sz w:val="32"/>
          <w:szCs w:val="32"/>
          <w:highlight w:val="none"/>
          <w:lang w:eastAsia="zh-CN"/>
        </w:rPr>
        <w:t>202</w:t>
      </w:r>
      <w:r>
        <w:rPr>
          <w:rFonts w:hint="eastAsia" w:eastAsia="方正仿宋_GBK" w:cs="仿宋_GB2312"/>
          <w:color w:val="auto"/>
          <w:sz w:val="32"/>
          <w:szCs w:val="32"/>
          <w:highlight w:val="none"/>
          <w:lang w:val="en-US" w:eastAsia="zh-CN"/>
        </w:rPr>
        <w:t>5</w:t>
      </w:r>
      <w:r>
        <w:rPr>
          <w:rFonts w:hint="eastAsia" w:ascii="Times New Roman" w:hAnsi="Times New Roman" w:eastAsia="方正仿宋_GBK" w:cs="仿宋_GB2312"/>
          <w:color w:val="auto"/>
          <w:sz w:val="32"/>
          <w:szCs w:val="32"/>
          <w:highlight w:val="none"/>
          <w:lang w:eastAsia="zh-CN"/>
        </w:rPr>
        <w:t>年度本年收入合计</w:t>
      </w:r>
      <w:r>
        <w:rPr>
          <w:rFonts w:hint="eastAsia" w:eastAsia="方正仿宋_GBK" w:cs="仿宋_GB2312"/>
          <w:color w:val="auto"/>
          <w:sz w:val="32"/>
          <w:szCs w:val="32"/>
          <w:highlight w:val="none"/>
          <w:lang w:val="en-US" w:eastAsia="zh-CN"/>
        </w:rPr>
        <w:t>3298.85</w:t>
      </w:r>
      <w:r>
        <w:rPr>
          <w:rFonts w:hint="eastAsia" w:ascii="Times New Roman" w:hAnsi="Times New Roman" w:eastAsia="方正仿宋_GBK" w:cs="仿宋_GB2312"/>
          <w:color w:val="auto"/>
          <w:sz w:val="32"/>
          <w:szCs w:val="32"/>
          <w:highlight w:val="none"/>
          <w:lang w:eastAsia="zh-CN"/>
        </w:rPr>
        <w:t>万元，其中：一般公共预算财政拨款收入</w:t>
      </w:r>
      <w:r>
        <w:rPr>
          <w:rFonts w:hint="eastAsia" w:eastAsia="方正仿宋_GBK" w:cs="仿宋_GB2312"/>
          <w:color w:val="auto"/>
          <w:sz w:val="32"/>
          <w:szCs w:val="32"/>
          <w:highlight w:val="none"/>
          <w:lang w:val="en-US" w:eastAsia="zh-CN"/>
        </w:rPr>
        <w:t>3298.85</w:t>
      </w:r>
      <w:r>
        <w:rPr>
          <w:rFonts w:hint="eastAsia" w:ascii="Times New Roman" w:hAnsi="Times New Roman" w:eastAsia="方正仿宋_GBK" w:cs="仿宋_GB2312"/>
          <w:color w:val="auto"/>
          <w:sz w:val="32"/>
          <w:szCs w:val="32"/>
          <w:highlight w:val="none"/>
          <w:lang w:eastAsia="zh-CN"/>
        </w:rPr>
        <w:t>万元，占</w:t>
      </w:r>
      <w:r>
        <w:rPr>
          <w:rFonts w:hint="eastAsia" w:eastAsia="方正仿宋_GBK" w:cs="仿宋_GB2312"/>
          <w:color w:val="auto"/>
          <w:sz w:val="32"/>
          <w:szCs w:val="32"/>
          <w:highlight w:val="none"/>
          <w:lang w:val="en-US" w:eastAsia="zh-CN"/>
        </w:rPr>
        <w:t>100</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eastAsia="zh-CN"/>
        </w:rPr>
        <w:t>。</w:t>
      </w:r>
    </w:p>
    <w:p w14:paraId="422415D4">
      <w:pPr>
        <w:keepNext w:val="0"/>
        <w:keepLines w:val="0"/>
        <w:pageBreakBefore w:val="0"/>
        <w:widowControl w:val="0"/>
        <w:kinsoku/>
        <w:wordWrap/>
        <w:overflowPunct/>
        <w:topLinePunct w:val="0"/>
        <w:autoSpaceDN/>
        <w:bidi w:val="0"/>
        <w:textAlignment w:val="auto"/>
        <w:rPr>
          <w:rFonts w:hint="eastAsia" w:ascii="Times New Roman" w:hAnsi="Times New Roman" w:eastAsia="方正仿宋_GBK" w:cs="仿宋_GB2312"/>
          <w:color w:val="auto"/>
          <w:sz w:val="32"/>
          <w:szCs w:val="32"/>
          <w:highlight w:val="none"/>
          <w:lang w:eastAsia="zh-CN"/>
        </w:rPr>
      </w:pPr>
    </w:p>
    <w:p w14:paraId="48B9D386">
      <w:pPr>
        <w:pStyle w:val="23"/>
        <w:keepNext w:val="0"/>
        <w:keepLines w:val="0"/>
        <w:pageBreakBefore w:val="0"/>
        <w:widowControl w:val="0"/>
        <w:kinsoku/>
        <w:wordWrap/>
        <w:overflowPunct/>
        <w:topLinePunct w:val="0"/>
        <w:autoSpaceDN/>
        <w:bidi w:val="0"/>
        <w:textAlignment w:val="auto"/>
        <w:rPr>
          <w:rFonts w:hint="eastAsia" w:ascii="Times New Roman" w:hAnsi="Times New Roman" w:eastAsia="方正仿宋_GBK" w:cs="仿宋_GB2312"/>
          <w:color w:val="auto"/>
          <w:sz w:val="32"/>
          <w:szCs w:val="32"/>
          <w:highlight w:val="none"/>
          <w:lang w:eastAsia="zh-CN"/>
        </w:rPr>
      </w:pPr>
      <w:r>
        <w:rPr>
          <w:rFonts w:hint="eastAsia" w:ascii="Times New Roman" w:hAnsi="Times New Roman" w:eastAsia="方正仿宋_GBK" w:cs="仿宋_GB2312"/>
          <w:color w:val="auto"/>
          <w:sz w:val="32"/>
          <w:szCs w:val="32"/>
          <w:highlight w:val="none"/>
          <w:lang w:eastAsia="zh-CN"/>
        </w:rPr>
        <w:drawing>
          <wp:inline distT="0" distB="0" distL="114300" distR="114300">
            <wp:extent cx="5256530" cy="2988310"/>
            <wp:effectExtent l="0" t="0" r="0" b="0"/>
            <wp:docPr id="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C418B93">
      <w:pPr>
        <w:keepNext w:val="0"/>
        <w:keepLines w:val="0"/>
        <w:pageBreakBefore w:val="0"/>
        <w:widowControl w:val="0"/>
        <w:kinsoku/>
        <w:wordWrap/>
        <w:overflowPunct/>
        <w:topLinePunct w:val="0"/>
        <w:autoSpaceDN/>
        <w:bidi w:val="0"/>
        <w:textAlignment w:val="auto"/>
        <w:rPr>
          <w:rFonts w:ascii="Times New Roman" w:hAnsi="Times New Roman" w:eastAsia="方正仿宋_GBK"/>
          <w:lang w:val="en-US" w:eastAsia="zh-CN"/>
        </w:rPr>
      </w:pPr>
    </w:p>
    <w:p w14:paraId="02A3972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Times New Roman" w:hAnsi="Times New Roman" w:eastAsia="方正仿宋_GBK" w:cs="仿宋_GB2312"/>
          <w:color w:val="auto"/>
          <w:sz w:val="28"/>
          <w:szCs w:val="28"/>
          <w:highlight w:val="none"/>
          <w:lang w:eastAsia="zh-CN"/>
        </w:rPr>
      </w:pPr>
      <w:r>
        <w:rPr>
          <w:rFonts w:hint="eastAsia" w:ascii="Times New Roman" w:hAnsi="Times New Roman" w:eastAsia="方正仿宋_GBK" w:cs="仿宋_GB2312"/>
          <w:color w:val="auto"/>
          <w:sz w:val="28"/>
          <w:szCs w:val="28"/>
          <w:highlight w:val="none"/>
          <w:lang w:eastAsia="zh-CN"/>
        </w:rPr>
        <w:t>（图2：收入决算结构图）（饼状图）</w:t>
      </w:r>
    </w:p>
    <w:p w14:paraId="67903F2B">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20" w:name="_Toc28027"/>
      <w:bookmarkStart w:id="21" w:name="_Toc15396605"/>
      <w:bookmarkStart w:id="22" w:name="_Toc15377207"/>
      <w:r>
        <w:rPr>
          <w:rFonts w:hint="eastAsia" w:ascii="Times New Roman" w:hAnsi="Times New Roman" w:eastAsia="方正黑体_GBK" w:cs="方正黑体_GBK"/>
          <w:color w:val="auto"/>
          <w:sz w:val="32"/>
          <w:szCs w:val="32"/>
          <w:highlight w:val="none"/>
          <w:lang w:eastAsia="zh-CN"/>
        </w:rPr>
        <w:t>三、支出决算情况说明</w:t>
      </w:r>
      <w:bookmarkEnd w:id="20"/>
      <w:bookmarkEnd w:id="21"/>
      <w:bookmarkEnd w:id="22"/>
    </w:p>
    <w:p w14:paraId="78F053D6">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仿宋_GBK" w:cs="仿宋_GB2312"/>
          <w:color w:val="auto"/>
          <w:sz w:val="32"/>
          <w:szCs w:val="32"/>
          <w:highlight w:val="none"/>
          <w:lang w:val="en-US" w:eastAsia="zh-CN"/>
        </w:rPr>
      </w:pPr>
      <w:r>
        <w:rPr>
          <w:rFonts w:hint="eastAsia" w:ascii="Times New Roman" w:hAnsi="Times New Roman" w:eastAsia="方正仿宋_GBK" w:cs="仿宋_GB2312"/>
          <w:color w:val="auto"/>
          <w:sz w:val="32"/>
          <w:szCs w:val="32"/>
          <w:highlight w:val="none"/>
          <w:lang w:val="en-US" w:eastAsia="zh-CN"/>
        </w:rPr>
        <w:t>202</w:t>
      </w:r>
      <w:r>
        <w:rPr>
          <w:rFonts w:hint="eastAsia" w:eastAsia="方正仿宋_GBK" w:cs="仿宋_GB2312"/>
          <w:color w:val="auto"/>
          <w:sz w:val="32"/>
          <w:szCs w:val="32"/>
          <w:highlight w:val="none"/>
          <w:lang w:val="en-US" w:eastAsia="zh-CN"/>
        </w:rPr>
        <w:t>5</w:t>
      </w:r>
      <w:r>
        <w:rPr>
          <w:rFonts w:hint="eastAsia" w:ascii="Times New Roman" w:hAnsi="Times New Roman" w:eastAsia="方正仿宋_GBK" w:cs="仿宋_GB2312"/>
          <w:color w:val="auto"/>
          <w:sz w:val="32"/>
          <w:szCs w:val="32"/>
          <w:highlight w:val="none"/>
          <w:lang w:val="en-US" w:eastAsia="zh-CN"/>
        </w:rPr>
        <w:t>年度本年支出合计</w:t>
      </w:r>
      <w:r>
        <w:rPr>
          <w:rFonts w:hint="eastAsia" w:eastAsia="方正仿宋_GBK" w:cs="仿宋_GB2312"/>
          <w:color w:val="auto"/>
          <w:sz w:val="32"/>
          <w:szCs w:val="32"/>
          <w:highlight w:val="none"/>
          <w:lang w:val="en-US" w:eastAsia="zh-CN"/>
        </w:rPr>
        <w:t>3298.85</w:t>
      </w:r>
      <w:r>
        <w:rPr>
          <w:rFonts w:hint="eastAsia" w:ascii="Times New Roman" w:hAnsi="Times New Roman" w:eastAsia="方正仿宋_GBK" w:cs="仿宋_GB2312"/>
          <w:color w:val="auto"/>
          <w:sz w:val="32"/>
          <w:szCs w:val="32"/>
          <w:highlight w:val="none"/>
          <w:lang w:val="en-US" w:eastAsia="zh-CN"/>
        </w:rPr>
        <w:t>万元，其中：基本支出</w:t>
      </w:r>
      <w:r>
        <w:rPr>
          <w:rFonts w:hint="eastAsia" w:eastAsia="方正仿宋_GBK" w:cs="仿宋_GB2312"/>
          <w:color w:val="auto"/>
          <w:sz w:val="32"/>
          <w:szCs w:val="32"/>
          <w:highlight w:val="none"/>
          <w:lang w:val="en-US" w:eastAsia="zh-CN"/>
        </w:rPr>
        <w:t>1739.05</w:t>
      </w:r>
      <w:r>
        <w:rPr>
          <w:rFonts w:hint="eastAsia" w:ascii="Times New Roman" w:hAnsi="Times New Roman" w:eastAsia="方正仿宋_GBK" w:cs="仿宋_GB2312"/>
          <w:color w:val="auto"/>
          <w:sz w:val="32"/>
          <w:szCs w:val="32"/>
          <w:highlight w:val="none"/>
          <w:lang w:val="en-US" w:eastAsia="zh-CN"/>
        </w:rPr>
        <w:t>万元，占</w:t>
      </w:r>
      <w:r>
        <w:rPr>
          <w:rFonts w:hint="eastAsia" w:eastAsia="方正仿宋_GBK" w:cs="仿宋_GB2312"/>
          <w:color w:val="auto"/>
          <w:sz w:val="32"/>
          <w:szCs w:val="32"/>
          <w:highlight w:val="none"/>
          <w:lang w:val="en-US" w:eastAsia="zh-CN"/>
        </w:rPr>
        <w:t>52.71</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val="en-US" w:eastAsia="zh-CN"/>
        </w:rPr>
        <w:t>；项目支出</w:t>
      </w:r>
      <w:r>
        <w:rPr>
          <w:rFonts w:hint="eastAsia" w:eastAsia="方正仿宋_GBK" w:cs="仿宋_GB2312"/>
          <w:color w:val="auto"/>
          <w:sz w:val="32"/>
          <w:szCs w:val="32"/>
          <w:highlight w:val="none"/>
          <w:lang w:val="en-US" w:eastAsia="zh-CN"/>
        </w:rPr>
        <w:t>1559.8</w:t>
      </w:r>
      <w:r>
        <w:rPr>
          <w:rFonts w:hint="eastAsia" w:ascii="Times New Roman" w:hAnsi="Times New Roman" w:eastAsia="方正仿宋_GBK" w:cs="仿宋_GB2312"/>
          <w:color w:val="auto"/>
          <w:sz w:val="32"/>
          <w:szCs w:val="32"/>
          <w:highlight w:val="none"/>
          <w:lang w:val="en-US" w:eastAsia="zh-CN"/>
        </w:rPr>
        <w:t>万元，占</w:t>
      </w:r>
      <w:r>
        <w:rPr>
          <w:rFonts w:hint="eastAsia" w:eastAsia="方正仿宋_GBK" w:cs="仿宋_GB2312"/>
          <w:color w:val="auto"/>
          <w:sz w:val="32"/>
          <w:szCs w:val="32"/>
          <w:highlight w:val="none"/>
          <w:lang w:val="en-US" w:eastAsia="zh-CN"/>
        </w:rPr>
        <w:t>47.29</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val="en-US" w:eastAsia="zh-CN"/>
        </w:rPr>
        <w:t>；上缴上级支出0万元，占0%；经营支出0万元，占0%；对附属单位补助支出0万元，占0%。</w:t>
      </w:r>
    </w:p>
    <w:p w14:paraId="4A74393C">
      <w:pPr>
        <w:pStyle w:val="23"/>
        <w:keepNext w:val="0"/>
        <w:pageBreakBefore w:val="0"/>
        <w:widowControl w:val="0"/>
        <w:kinsoku/>
        <w:wordWrap/>
        <w:overflowPunct/>
        <w:topLinePunct w:val="0"/>
        <w:autoSpaceDN/>
        <w:bidi w:val="0"/>
        <w:rPr>
          <w:rFonts w:hint="eastAsia" w:ascii="Times New Roman" w:hAnsi="Times New Roman" w:eastAsia="方正仿宋_GBK" w:cs="仿宋_GB2312"/>
          <w:color w:val="auto"/>
          <w:sz w:val="32"/>
          <w:szCs w:val="32"/>
          <w:highlight w:val="none"/>
          <w:lang w:eastAsia="zh-CN"/>
        </w:rPr>
      </w:pPr>
    </w:p>
    <w:p w14:paraId="0F2E46D9">
      <w:pPr>
        <w:keepNext w:val="0"/>
        <w:pageBreakBefore w:val="0"/>
        <w:widowControl w:val="0"/>
        <w:kinsoku/>
        <w:wordWrap/>
        <w:overflowPunct/>
        <w:topLinePunct w:val="0"/>
        <w:autoSpaceDN/>
        <w:bidi w:val="0"/>
        <w:jc w:val="center"/>
        <w:rPr>
          <w:rFonts w:hint="eastAsia" w:ascii="Times New Roman" w:hAnsi="Times New Roman" w:eastAsia="方正仿宋_GBK" w:cs="仿宋_GB2312"/>
          <w:color w:val="auto"/>
          <w:sz w:val="32"/>
          <w:szCs w:val="32"/>
          <w:highlight w:val="none"/>
          <w:lang w:eastAsia="zh-CN"/>
          <w14:textFill>
            <w14:noFill/>
          </w14:textFill>
        </w:rPr>
      </w:pPr>
      <w:r>
        <w:rPr>
          <w:rFonts w:hint="eastAsia" w:ascii="Times New Roman" w:hAnsi="Times New Roman" w:eastAsia="方正仿宋_GBK" w:cs="仿宋_GB2312"/>
          <w:color w:val="auto"/>
          <w:sz w:val="32"/>
          <w:szCs w:val="32"/>
          <w:highlight w:val="none"/>
          <w:lang w:eastAsia="zh-CN"/>
        </w:rPr>
        <w:drawing>
          <wp:inline distT="0" distB="0" distL="114300" distR="114300">
            <wp:extent cx="4441190" cy="2534285"/>
            <wp:effectExtent l="0" t="0" r="0" b="0"/>
            <wp:docPr id="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9413B7C">
      <w:pPr>
        <w:keepNext w:val="0"/>
        <w:pageBreakBefore w:val="0"/>
        <w:widowControl w:val="0"/>
        <w:kinsoku/>
        <w:wordWrap/>
        <w:overflowPunct/>
        <w:topLinePunct w:val="0"/>
        <w:autoSpaceDN/>
        <w:bidi w:val="0"/>
        <w:rPr>
          <w:rFonts w:hint="eastAsia" w:ascii="Times New Roman" w:hAnsi="Times New Roman" w:eastAsia="方正仿宋_GBK"/>
          <w:lang w:eastAsia="zh-CN"/>
        </w:rPr>
      </w:pPr>
    </w:p>
    <w:p w14:paraId="36B0C0E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Times New Roman" w:hAnsi="Times New Roman" w:eastAsia="方正仿宋_GBK" w:cs="仿宋_GB2312"/>
          <w:color w:val="auto"/>
          <w:sz w:val="28"/>
          <w:szCs w:val="28"/>
          <w:highlight w:val="none"/>
          <w:lang w:eastAsia="zh-CN"/>
        </w:rPr>
      </w:pPr>
      <w:r>
        <w:rPr>
          <w:rFonts w:hint="eastAsia" w:ascii="Times New Roman" w:hAnsi="Times New Roman" w:eastAsia="方正仿宋_GBK" w:cs="仿宋_GB2312"/>
          <w:color w:val="auto"/>
          <w:sz w:val="28"/>
          <w:szCs w:val="28"/>
          <w:highlight w:val="none"/>
          <w:lang w:eastAsia="zh-CN"/>
        </w:rPr>
        <w:t>（图3：支出决算结构图）（饼状图）</w:t>
      </w:r>
    </w:p>
    <w:p w14:paraId="529AD9A2">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23" w:name="_Toc15396606"/>
      <w:bookmarkStart w:id="24" w:name="_Toc15377208"/>
      <w:bookmarkStart w:id="25" w:name="_Toc11563"/>
      <w:r>
        <w:rPr>
          <w:rFonts w:hint="eastAsia" w:ascii="Times New Roman" w:hAnsi="Times New Roman" w:eastAsia="方正黑体_GBK" w:cs="方正黑体_GBK"/>
          <w:color w:val="auto"/>
          <w:sz w:val="32"/>
          <w:szCs w:val="32"/>
          <w:highlight w:val="none"/>
          <w:lang w:eastAsia="zh-CN"/>
        </w:rPr>
        <w:t>四、财政拨款收入支出决算总体情况说明</w:t>
      </w:r>
      <w:bookmarkEnd w:id="23"/>
      <w:bookmarkEnd w:id="24"/>
      <w:bookmarkEnd w:id="25"/>
    </w:p>
    <w:p w14:paraId="05506E97">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仿宋_GBK" w:cs="仿宋_GB2312"/>
          <w:color w:val="auto"/>
          <w:sz w:val="32"/>
          <w:szCs w:val="32"/>
          <w:highlight w:val="none"/>
          <w:lang w:val="en-US" w:eastAsia="zh-CN"/>
        </w:rPr>
      </w:pPr>
      <w:r>
        <w:rPr>
          <w:rFonts w:hint="eastAsia" w:ascii="Times New Roman" w:hAnsi="Times New Roman" w:eastAsia="方正仿宋_GBK" w:cs="仿宋_GB2312"/>
          <w:color w:val="auto"/>
          <w:sz w:val="32"/>
          <w:szCs w:val="32"/>
          <w:highlight w:val="none"/>
          <w:lang w:val="en-US" w:eastAsia="zh-CN"/>
        </w:rPr>
        <w:t>202</w:t>
      </w:r>
      <w:r>
        <w:rPr>
          <w:rFonts w:hint="eastAsia" w:eastAsia="方正仿宋_GBK" w:cs="仿宋_GB2312"/>
          <w:color w:val="auto"/>
          <w:sz w:val="32"/>
          <w:szCs w:val="32"/>
          <w:highlight w:val="none"/>
          <w:lang w:val="en-US" w:eastAsia="zh-CN"/>
        </w:rPr>
        <w:t>5</w:t>
      </w:r>
      <w:r>
        <w:rPr>
          <w:rFonts w:hint="eastAsia" w:ascii="Times New Roman" w:hAnsi="Times New Roman" w:eastAsia="方正仿宋_GBK" w:cs="仿宋_GB2312"/>
          <w:color w:val="auto"/>
          <w:sz w:val="32"/>
          <w:szCs w:val="32"/>
          <w:highlight w:val="none"/>
          <w:lang w:val="en-US" w:eastAsia="zh-CN"/>
        </w:rPr>
        <w:t>年度财政拨款收入、支出总计均为</w:t>
      </w:r>
      <w:r>
        <w:rPr>
          <w:rFonts w:hint="eastAsia" w:eastAsia="方正仿宋_GBK" w:cs="仿宋_GB2312"/>
          <w:color w:val="auto"/>
          <w:sz w:val="32"/>
          <w:szCs w:val="32"/>
          <w:highlight w:val="none"/>
          <w:lang w:val="en-US" w:eastAsia="zh-CN"/>
        </w:rPr>
        <w:t>3298.85</w:t>
      </w:r>
      <w:r>
        <w:rPr>
          <w:rFonts w:hint="eastAsia" w:ascii="Times New Roman" w:hAnsi="Times New Roman" w:eastAsia="方正仿宋_GBK" w:cs="仿宋_GB2312"/>
          <w:color w:val="auto"/>
          <w:sz w:val="32"/>
          <w:szCs w:val="32"/>
          <w:highlight w:val="none"/>
          <w:lang w:val="en-US" w:eastAsia="zh-CN"/>
        </w:rPr>
        <w:t>万元。与</w:t>
      </w:r>
      <w:r>
        <w:rPr>
          <w:rFonts w:hint="eastAsia" w:eastAsia="方正仿宋_GBK" w:cs="仿宋_GB2312"/>
          <w:color w:val="auto"/>
          <w:sz w:val="32"/>
          <w:szCs w:val="32"/>
          <w:highlight w:val="none"/>
          <w:lang w:val="en-US" w:eastAsia="zh-CN"/>
        </w:rPr>
        <w:t>上</w:t>
      </w:r>
      <w:r>
        <w:rPr>
          <w:rFonts w:hint="eastAsia" w:ascii="Times New Roman" w:hAnsi="Times New Roman" w:eastAsia="方正仿宋_GBK" w:cs="仿宋_GB2312"/>
          <w:color w:val="auto"/>
          <w:sz w:val="32"/>
          <w:szCs w:val="32"/>
          <w:highlight w:val="none"/>
          <w:lang w:val="en-US" w:eastAsia="zh-CN"/>
        </w:rPr>
        <w:t>年度相比，财政拨款收入</w:t>
      </w:r>
      <w:r>
        <w:rPr>
          <w:rFonts w:hint="eastAsia" w:eastAsia="方正仿宋_GBK" w:cs="仿宋_GB2312"/>
          <w:color w:val="auto"/>
          <w:sz w:val="32"/>
          <w:szCs w:val="32"/>
          <w:highlight w:val="none"/>
          <w:lang w:val="en-US" w:eastAsia="zh-CN"/>
        </w:rPr>
        <w:t>、支出</w:t>
      </w:r>
      <w:r>
        <w:rPr>
          <w:rFonts w:hint="eastAsia" w:ascii="Times New Roman" w:hAnsi="Times New Roman" w:eastAsia="方正仿宋_GBK" w:cs="仿宋_GB2312"/>
          <w:color w:val="auto"/>
          <w:sz w:val="32"/>
          <w:szCs w:val="32"/>
          <w:highlight w:val="none"/>
          <w:lang w:val="en-US" w:eastAsia="zh-CN"/>
        </w:rPr>
        <w:t>总计</w:t>
      </w:r>
      <w:r>
        <w:rPr>
          <w:rFonts w:hint="eastAsia" w:eastAsia="方正仿宋_GBK" w:cs="仿宋_GB2312"/>
          <w:color w:val="auto"/>
          <w:sz w:val="32"/>
          <w:szCs w:val="32"/>
          <w:highlight w:val="none"/>
          <w:lang w:val="en-US" w:eastAsia="zh-CN"/>
        </w:rPr>
        <w:t>各</w:t>
      </w:r>
      <w:r>
        <w:rPr>
          <w:rFonts w:hint="eastAsia" w:ascii="Times New Roman" w:hAnsi="Times New Roman" w:eastAsia="方正仿宋_GBK" w:cs="仿宋_GB2312"/>
          <w:color w:val="auto"/>
          <w:sz w:val="32"/>
          <w:szCs w:val="32"/>
          <w:highlight w:val="none"/>
          <w:lang w:val="en-US" w:eastAsia="zh-CN"/>
        </w:rPr>
        <w:t>减少</w:t>
      </w:r>
      <w:r>
        <w:rPr>
          <w:rFonts w:hint="eastAsia" w:eastAsia="方正仿宋_GBK" w:cs="仿宋_GB2312"/>
          <w:color w:val="auto"/>
          <w:sz w:val="32"/>
          <w:szCs w:val="32"/>
          <w:highlight w:val="none"/>
          <w:lang w:val="en-US" w:eastAsia="zh-CN"/>
        </w:rPr>
        <w:t>531.97</w:t>
      </w:r>
      <w:r>
        <w:rPr>
          <w:rFonts w:hint="eastAsia" w:ascii="Times New Roman" w:hAnsi="Times New Roman" w:eastAsia="方正仿宋_GBK" w:cs="仿宋_GB2312"/>
          <w:color w:val="auto"/>
          <w:sz w:val="32"/>
          <w:szCs w:val="32"/>
          <w:highlight w:val="none"/>
          <w:lang w:val="en-US" w:eastAsia="zh-CN"/>
        </w:rPr>
        <w:t>万元，下降</w:t>
      </w:r>
      <w:r>
        <w:rPr>
          <w:rFonts w:hint="eastAsia" w:eastAsia="方正仿宋_GBK" w:cs="仿宋_GB2312"/>
          <w:color w:val="auto"/>
          <w:sz w:val="32"/>
          <w:szCs w:val="32"/>
          <w:highlight w:val="none"/>
          <w:lang w:val="en-US" w:eastAsia="zh-CN"/>
        </w:rPr>
        <w:t>13.88</w:t>
      </w:r>
      <w:r>
        <w:rPr>
          <w:rFonts w:hint="eastAsia" w:ascii="Times New Roman" w:hAnsi="Times New Roman" w:eastAsia="方正仿宋_GBK" w:cs="仿宋_GB2312"/>
          <w:color w:val="auto"/>
          <w:sz w:val="32"/>
          <w:szCs w:val="32"/>
          <w:highlight w:val="none"/>
          <w:lang w:val="en-US" w:eastAsia="zh-CN"/>
        </w:rPr>
        <w:t>%。主要变动原因是</w:t>
      </w:r>
      <w:r>
        <w:rPr>
          <w:rFonts w:ascii="Times New Roman" w:hAnsi="Times New Roman" w:eastAsia="方正仿宋_GBK" w:cs="仿宋_GB2312"/>
          <w:color w:val="auto"/>
          <w:sz w:val="32"/>
          <w:szCs w:val="32"/>
          <w:highlight w:val="none"/>
          <w:lang w:val="en-US" w:eastAsia="zh-CN"/>
        </w:rPr>
        <w:t>全国文明城市创建工作</w:t>
      </w:r>
      <w:r>
        <w:rPr>
          <w:rFonts w:hint="eastAsia" w:ascii="Times New Roman" w:hAnsi="Times New Roman" w:eastAsia="方正仿宋_GBK" w:cs="仿宋_GB2312"/>
          <w:color w:val="auto"/>
          <w:sz w:val="32"/>
          <w:szCs w:val="32"/>
          <w:highlight w:val="none"/>
          <w:lang w:val="en-US" w:eastAsia="zh-CN"/>
        </w:rPr>
        <w:t>等项目</w:t>
      </w:r>
      <w:r>
        <w:rPr>
          <w:rFonts w:ascii="Times New Roman" w:hAnsi="Times New Roman" w:eastAsia="方正仿宋_GBK" w:cs="仿宋_GB2312"/>
          <w:color w:val="auto"/>
          <w:sz w:val="32"/>
          <w:szCs w:val="32"/>
          <w:highlight w:val="none"/>
          <w:lang w:val="en-US" w:eastAsia="zh-CN"/>
        </w:rPr>
        <w:t>经费减少。</w:t>
      </w:r>
    </w:p>
    <w:p w14:paraId="20E0C0B7">
      <w:pPr>
        <w:keepNext w:val="0"/>
        <w:pageBreakBefore w:val="0"/>
        <w:widowControl w:val="0"/>
        <w:kinsoku/>
        <w:wordWrap/>
        <w:overflowPunct/>
        <w:topLinePunct w:val="0"/>
        <w:autoSpaceDN/>
        <w:bidi w:val="0"/>
        <w:jc w:val="center"/>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drawing>
          <wp:inline distT="0" distB="0" distL="114300" distR="114300">
            <wp:extent cx="4495165" cy="2426970"/>
            <wp:effectExtent l="0" t="0" r="0"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01E26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Times New Roman" w:hAnsi="Times New Roman" w:eastAsia="方正仿宋_GBK" w:cs="仿宋_GB2312"/>
          <w:color w:val="auto"/>
          <w:sz w:val="28"/>
          <w:szCs w:val="28"/>
          <w:highlight w:val="none"/>
          <w:lang w:val="en-US" w:eastAsia="zh-CN"/>
        </w:rPr>
      </w:pPr>
      <w:r>
        <w:rPr>
          <w:rFonts w:hint="eastAsia" w:ascii="Times New Roman" w:hAnsi="Times New Roman" w:eastAsia="方正仿宋_GBK" w:cs="仿宋_GB2312"/>
          <w:color w:val="auto"/>
          <w:sz w:val="28"/>
          <w:szCs w:val="28"/>
          <w:highlight w:val="none"/>
          <w:lang w:val="en-US" w:eastAsia="zh-CN"/>
        </w:rPr>
        <w:t>（图4：财政拨款收、支决算总计变动情况）（柱状图）</w:t>
      </w:r>
    </w:p>
    <w:p w14:paraId="1ED00B68">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26" w:name="_Toc5136"/>
      <w:bookmarkStart w:id="27" w:name="_Toc15377209"/>
      <w:bookmarkStart w:id="28" w:name="_Toc15396607"/>
      <w:r>
        <w:rPr>
          <w:rFonts w:hint="eastAsia" w:ascii="Times New Roman" w:hAnsi="Times New Roman" w:eastAsia="方正黑体_GBK" w:cs="方正黑体_GBK"/>
          <w:color w:val="auto"/>
          <w:sz w:val="32"/>
          <w:szCs w:val="32"/>
          <w:highlight w:val="none"/>
          <w:lang w:eastAsia="zh-CN"/>
        </w:rPr>
        <w:t>五、一般公共预算财政拨款支出决算情况说明</w:t>
      </w:r>
      <w:bookmarkEnd w:id="26"/>
      <w:bookmarkEnd w:id="27"/>
      <w:bookmarkEnd w:id="28"/>
    </w:p>
    <w:p w14:paraId="08CB4B8F">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楷体_GBK" w:cs="方正楷体_GBK"/>
          <w:color w:val="auto"/>
          <w:sz w:val="32"/>
          <w:szCs w:val="32"/>
          <w:highlight w:val="none"/>
          <w:lang w:eastAsia="zh-CN"/>
        </w:rPr>
      </w:pPr>
      <w:bookmarkStart w:id="29" w:name="_Toc15377210"/>
      <w:r>
        <w:rPr>
          <w:rFonts w:hint="eastAsia" w:ascii="Times New Roman" w:hAnsi="Times New Roman" w:eastAsia="方正楷体_GBK" w:cs="方正楷体_GBK"/>
          <w:color w:val="auto"/>
          <w:sz w:val="32"/>
          <w:szCs w:val="32"/>
          <w:highlight w:val="none"/>
          <w:lang w:eastAsia="zh-CN"/>
        </w:rPr>
        <w:t>（一）一般公共预算财政拨款支出决算总体情况</w:t>
      </w:r>
      <w:bookmarkEnd w:id="29"/>
    </w:p>
    <w:p w14:paraId="56162FC0">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仿宋_GBK" w:cs="仿宋_GB2312"/>
          <w:color w:val="auto"/>
          <w:sz w:val="32"/>
          <w:szCs w:val="32"/>
          <w:highlight w:val="none"/>
          <w:lang w:val="en-US" w:eastAsia="zh-CN"/>
        </w:rPr>
      </w:pPr>
      <w:r>
        <w:rPr>
          <w:rFonts w:hint="eastAsia" w:ascii="Times New Roman" w:hAnsi="Times New Roman" w:eastAsia="方正仿宋_GBK" w:cs="仿宋_GB2312"/>
          <w:color w:val="auto"/>
          <w:sz w:val="32"/>
          <w:szCs w:val="32"/>
          <w:highlight w:val="none"/>
          <w:lang w:val="en-US" w:eastAsia="zh-CN"/>
        </w:rPr>
        <w:t>202</w:t>
      </w:r>
      <w:r>
        <w:rPr>
          <w:rFonts w:hint="eastAsia" w:eastAsia="方正仿宋_GBK" w:cs="仿宋_GB2312"/>
          <w:color w:val="auto"/>
          <w:sz w:val="32"/>
          <w:szCs w:val="32"/>
          <w:highlight w:val="none"/>
          <w:lang w:val="en-US" w:eastAsia="zh-CN"/>
        </w:rPr>
        <w:t>5</w:t>
      </w:r>
      <w:r>
        <w:rPr>
          <w:rFonts w:hint="eastAsia" w:ascii="Times New Roman" w:hAnsi="Times New Roman" w:eastAsia="方正仿宋_GBK" w:cs="仿宋_GB2312"/>
          <w:color w:val="auto"/>
          <w:sz w:val="32"/>
          <w:szCs w:val="32"/>
          <w:highlight w:val="none"/>
          <w:lang w:val="en-US" w:eastAsia="zh-CN"/>
        </w:rPr>
        <w:t>年度一般公共预算财政拨款支出</w:t>
      </w:r>
      <w:r>
        <w:rPr>
          <w:rFonts w:hint="eastAsia" w:eastAsia="方正仿宋_GBK" w:cs="仿宋_GB2312"/>
          <w:color w:val="auto"/>
          <w:sz w:val="32"/>
          <w:szCs w:val="32"/>
          <w:highlight w:val="none"/>
          <w:lang w:val="en-US" w:eastAsia="zh-CN"/>
        </w:rPr>
        <w:t>3298.85</w:t>
      </w:r>
      <w:r>
        <w:rPr>
          <w:rFonts w:hint="eastAsia" w:ascii="Times New Roman" w:hAnsi="Times New Roman" w:eastAsia="方正仿宋_GBK" w:cs="仿宋_GB2312"/>
          <w:color w:val="auto"/>
          <w:sz w:val="32"/>
          <w:szCs w:val="32"/>
          <w:highlight w:val="none"/>
          <w:lang w:val="en-US" w:eastAsia="zh-CN"/>
        </w:rPr>
        <w:t>万元，占本年支出合计的</w:t>
      </w:r>
      <w:r>
        <w:rPr>
          <w:rFonts w:hint="eastAsia" w:eastAsia="方正仿宋_GBK" w:cs="仿宋_GB2312"/>
          <w:color w:val="auto"/>
          <w:sz w:val="32"/>
          <w:szCs w:val="32"/>
          <w:highlight w:val="none"/>
          <w:lang w:val="en-US" w:eastAsia="zh-CN"/>
        </w:rPr>
        <w:t>100</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val="en-US" w:eastAsia="zh-CN"/>
        </w:rPr>
        <w:t>。与</w:t>
      </w:r>
      <w:r>
        <w:rPr>
          <w:rFonts w:hint="eastAsia" w:eastAsia="方正仿宋_GBK" w:cs="仿宋_GB2312"/>
          <w:color w:val="auto"/>
          <w:sz w:val="32"/>
          <w:szCs w:val="32"/>
          <w:highlight w:val="none"/>
          <w:lang w:val="en-US" w:eastAsia="zh-CN"/>
        </w:rPr>
        <w:t>上</w:t>
      </w:r>
      <w:r>
        <w:rPr>
          <w:rFonts w:hint="eastAsia" w:ascii="Times New Roman" w:hAnsi="Times New Roman" w:eastAsia="方正仿宋_GBK" w:cs="仿宋_GB2312"/>
          <w:color w:val="auto"/>
          <w:sz w:val="32"/>
          <w:szCs w:val="32"/>
          <w:highlight w:val="none"/>
          <w:lang w:val="en-US" w:eastAsia="zh-CN"/>
        </w:rPr>
        <w:t>年度相比，一般公共预算财政拨款支出减少</w:t>
      </w:r>
      <w:r>
        <w:rPr>
          <w:rFonts w:hint="eastAsia" w:eastAsia="方正仿宋_GBK" w:cs="仿宋_GB2312"/>
          <w:color w:val="auto"/>
          <w:sz w:val="32"/>
          <w:szCs w:val="32"/>
          <w:highlight w:val="none"/>
          <w:lang w:val="en-US" w:eastAsia="zh-CN"/>
        </w:rPr>
        <w:t>491.97</w:t>
      </w:r>
      <w:r>
        <w:rPr>
          <w:rFonts w:hint="eastAsia" w:ascii="Times New Roman" w:hAnsi="Times New Roman" w:eastAsia="方正仿宋_GBK" w:cs="仿宋_GB2312"/>
          <w:color w:val="auto"/>
          <w:sz w:val="32"/>
          <w:szCs w:val="32"/>
          <w:highlight w:val="none"/>
          <w:lang w:val="en-US" w:eastAsia="zh-CN"/>
        </w:rPr>
        <w:t>万元，下降1</w:t>
      </w:r>
      <w:r>
        <w:rPr>
          <w:rFonts w:hint="eastAsia" w:eastAsia="方正仿宋_GBK" w:cs="仿宋_GB2312"/>
          <w:color w:val="auto"/>
          <w:sz w:val="32"/>
          <w:szCs w:val="32"/>
          <w:highlight w:val="none"/>
          <w:lang w:val="en-US" w:eastAsia="zh-CN"/>
        </w:rPr>
        <w:t>2.98</w:t>
      </w:r>
      <w:r>
        <w:rPr>
          <w:rFonts w:hint="eastAsia" w:ascii="Times New Roman" w:hAnsi="Times New Roman" w:eastAsia="方正仿宋_GBK" w:cs="仿宋_GB2312"/>
          <w:color w:val="auto"/>
          <w:sz w:val="32"/>
          <w:szCs w:val="32"/>
          <w:highlight w:val="none"/>
          <w:lang w:val="en-US" w:eastAsia="zh-CN"/>
        </w:rPr>
        <w:t>%。主要变动原因是</w:t>
      </w:r>
      <w:r>
        <w:rPr>
          <w:rFonts w:ascii="Times New Roman" w:hAnsi="Times New Roman" w:eastAsia="方正仿宋_GBK" w:cs="仿宋_GB2312"/>
          <w:color w:val="auto"/>
          <w:sz w:val="32"/>
          <w:szCs w:val="32"/>
          <w:highlight w:val="none"/>
          <w:lang w:val="en-US" w:eastAsia="zh-CN"/>
        </w:rPr>
        <w:t>创建全国文明城市</w:t>
      </w:r>
      <w:r>
        <w:rPr>
          <w:rFonts w:hint="eastAsia" w:ascii="Times New Roman" w:hAnsi="Times New Roman" w:eastAsia="方正仿宋_GBK" w:cs="仿宋_GB2312"/>
          <w:color w:val="auto"/>
          <w:sz w:val="32"/>
          <w:szCs w:val="32"/>
          <w:highlight w:val="none"/>
          <w:lang w:val="en-US" w:eastAsia="zh-CN"/>
        </w:rPr>
        <w:t>等</w:t>
      </w:r>
      <w:r>
        <w:rPr>
          <w:rFonts w:ascii="Times New Roman" w:hAnsi="Times New Roman" w:eastAsia="方正仿宋_GBK" w:cs="仿宋_GB2312"/>
          <w:color w:val="auto"/>
          <w:sz w:val="32"/>
          <w:szCs w:val="32"/>
          <w:highlight w:val="none"/>
          <w:lang w:val="en-US" w:eastAsia="zh-CN"/>
        </w:rPr>
        <w:t>项目经费减少</w:t>
      </w:r>
      <w:r>
        <w:rPr>
          <w:rFonts w:hint="eastAsia" w:ascii="Times New Roman" w:hAnsi="Times New Roman" w:eastAsia="方正仿宋_GBK" w:cs="仿宋_GB2312"/>
          <w:color w:val="auto"/>
          <w:sz w:val="32"/>
          <w:szCs w:val="32"/>
          <w:highlight w:val="none"/>
          <w:lang w:val="en-US" w:eastAsia="zh-CN"/>
        </w:rPr>
        <w:t>。</w:t>
      </w:r>
    </w:p>
    <w:p w14:paraId="4C9CC6B8">
      <w:pPr>
        <w:pStyle w:val="23"/>
        <w:keepNext w:val="0"/>
        <w:pageBreakBefore w:val="0"/>
        <w:widowControl w:val="0"/>
        <w:kinsoku/>
        <w:wordWrap/>
        <w:overflowPunct/>
        <w:topLinePunct w:val="0"/>
        <w:autoSpaceDN/>
        <w:bidi w:val="0"/>
        <w:rPr>
          <w:rFonts w:hint="eastAsia" w:ascii="Times New Roman" w:hAnsi="Times New Roman" w:eastAsia="方正仿宋_GBK" w:cs="仿宋_GB2312"/>
          <w:kern w:val="2"/>
          <w:sz w:val="32"/>
          <w:szCs w:val="32"/>
          <w:lang w:val="en-US" w:eastAsia="zh-CN"/>
        </w:rPr>
      </w:pPr>
    </w:p>
    <w:p w14:paraId="3E83A2A1">
      <w:pPr>
        <w:keepNext w:val="0"/>
        <w:pageBreakBefore w:val="0"/>
        <w:widowControl w:val="0"/>
        <w:kinsoku/>
        <w:wordWrap/>
        <w:overflowPunct/>
        <w:topLinePunct w:val="0"/>
        <w:autoSpaceDN/>
        <w:bidi w:val="0"/>
        <w:rPr>
          <w:rFonts w:hint="eastAsia" w:ascii="Times New Roman" w:hAnsi="Times New Roman" w:eastAsia="方正仿宋_GBK" w:cs="仿宋_GB2312"/>
          <w:kern w:val="2"/>
          <w:sz w:val="32"/>
          <w:szCs w:val="32"/>
          <w:lang w:val="en-US" w:eastAsia="zh-CN"/>
        </w:rPr>
      </w:pPr>
      <w:r>
        <w:rPr>
          <w:rFonts w:hint="eastAsia" w:ascii="Times New Roman" w:hAnsi="Times New Roman" w:eastAsia="方正仿宋_GBK" w:cs="仿宋_GB2312"/>
          <w:kern w:val="2"/>
          <w:sz w:val="32"/>
          <w:szCs w:val="32"/>
          <w:lang w:val="en-US" w:eastAsia="zh-CN"/>
        </w:rPr>
        <w:drawing>
          <wp:inline distT="0" distB="0" distL="114300" distR="114300">
            <wp:extent cx="5256530" cy="2988310"/>
            <wp:effectExtent l="0" t="0" r="0" b="0"/>
            <wp:docPr id="8"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A985F29">
      <w:pPr>
        <w:keepNext w:val="0"/>
        <w:pageBreakBefore w:val="0"/>
        <w:widowControl w:val="0"/>
        <w:kinsoku/>
        <w:wordWrap/>
        <w:overflowPunct/>
        <w:topLinePunct w:val="0"/>
        <w:autoSpaceDN/>
        <w:bidi w:val="0"/>
        <w:rPr>
          <w:rFonts w:ascii="Times New Roman" w:hAnsi="Times New Roman" w:eastAsia="方正仿宋_GBK"/>
        </w:rPr>
      </w:pPr>
    </w:p>
    <w:p w14:paraId="432A3EC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Times New Roman" w:hAnsi="Times New Roman" w:eastAsia="方正仿宋_GBK" w:cs="仿宋_GB2312"/>
          <w:color w:val="auto"/>
          <w:sz w:val="28"/>
          <w:szCs w:val="28"/>
          <w:highlight w:val="none"/>
          <w:lang w:val="en-US" w:eastAsia="zh-CN"/>
        </w:rPr>
      </w:pPr>
      <w:r>
        <w:rPr>
          <w:rFonts w:hint="eastAsia" w:ascii="Times New Roman" w:hAnsi="Times New Roman" w:eastAsia="方正仿宋_GBK" w:cs="仿宋_GB2312"/>
          <w:color w:val="auto"/>
          <w:sz w:val="28"/>
          <w:szCs w:val="28"/>
          <w:highlight w:val="none"/>
          <w:lang w:val="en-US" w:eastAsia="zh-CN"/>
        </w:rPr>
        <w:t>（图5：一般公共预算财政拨款支出决算变动情况）（柱状图）</w:t>
      </w:r>
    </w:p>
    <w:p w14:paraId="4FFF76B7">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楷体_GBK" w:cs="方正楷体_GBK"/>
          <w:color w:val="auto"/>
          <w:sz w:val="32"/>
          <w:szCs w:val="32"/>
          <w:highlight w:val="none"/>
          <w:lang w:eastAsia="zh-CN"/>
        </w:rPr>
      </w:pPr>
      <w:bookmarkStart w:id="30" w:name="_Toc15377211"/>
      <w:r>
        <w:rPr>
          <w:rFonts w:hint="eastAsia" w:ascii="Times New Roman" w:hAnsi="Times New Roman" w:eastAsia="方正楷体_GBK" w:cs="方正楷体_GBK"/>
          <w:color w:val="auto"/>
          <w:sz w:val="32"/>
          <w:szCs w:val="32"/>
          <w:highlight w:val="none"/>
          <w:lang w:eastAsia="zh-CN"/>
        </w:rPr>
        <w:t>（二）一般公共预算财政拨款支出决算结构情况</w:t>
      </w:r>
      <w:bookmarkEnd w:id="30"/>
    </w:p>
    <w:p w14:paraId="6F39D532">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仿宋_GBK" w:cs="仿宋_GB2312"/>
          <w:color w:val="auto"/>
          <w:sz w:val="32"/>
          <w:szCs w:val="32"/>
          <w:highlight w:val="none"/>
          <w:lang w:val="en-US" w:eastAsia="zh-CN"/>
        </w:rPr>
      </w:pPr>
      <w:r>
        <w:rPr>
          <w:rFonts w:hint="eastAsia" w:ascii="Times New Roman" w:hAnsi="Times New Roman" w:eastAsia="方正仿宋_GBK" w:cs="仿宋_GB2312"/>
          <w:color w:val="auto"/>
          <w:sz w:val="32"/>
          <w:szCs w:val="32"/>
          <w:highlight w:val="none"/>
          <w:lang w:val="en-US" w:eastAsia="zh-CN"/>
        </w:rPr>
        <w:t>202</w:t>
      </w:r>
      <w:r>
        <w:rPr>
          <w:rFonts w:hint="eastAsia" w:eastAsia="方正仿宋_GBK" w:cs="仿宋_GB2312"/>
          <w:color w:val="auto"/>
          <w:sz w:val="32"/>
          <w:szCs w:val="32"/>
          <w:highlight w:val="none"/>
          <w:lang w:val="en-US" w:eastAsia="zh-CN"/>
        </w:rPr>
        <w:t>5</w:t>
      </w:r>
      <w:r>
        <w:rPr>
          <w:rFonts w:hint="eastAsia" w:ascii="Times New Roman" w:hAnsi="Times New Roman" w:eastAsia="方正仿宋_GBK" w:cs="仿宋_GB2312"/>
          <w:color w:val="auto"/>
          <w:sz w:val="32"/>
          <w:szCs w:val="32"/>
          <w:highlight w:val="none"/>
          <w:lang w:val="en-US" w:eastAsia="zh-CN"/>
        </w:rPr>
        <w:t>年度一般公共预算财政拨款支出</w:t>
      </w:r>
      <w:r>
        <w:rPr>
          <w:rFonts w:hint="eastAsia" w:eastAsia="方正仿宋_GBK" w:cs="仿宋_GB2312"/>
          <w:color w:val="auto"/>
          <w:sz w:val="32"/>
          <w:szCs w:val="32"/>
          <w:highlight w:val="none"/>
          <w:lang w:val="en-US" w:eastAsia="zh-CN"/>
        </w:rPr>
        <w:t>3298.85</w:t>
      </w:r>
      <w:r>
        <w:rPr>
          <w:rFonts w:hint="eastAsia" w:ascii="Times New Roman" w:hAnsi="Times New Roman" w:eastAsia="方正仿宋_GBK" w:cs="仿宋_GB2312"/>
          <w:color w:val="auto"/>
          <w:sz w:val="32"/>
          <w:szCs w:val="32"/>
          <w:highlight w:val="none"/>
          <w:lang w:val="en-US" w:eastAsia="zh-CN"/>
        </w:rPr>
        <w:t>万元，主要用于以下方面：一般公共服务支出</w:t>
      </w:r>
      <w:r>
        <w:rPr>
          <w:rFonts w:hint="eastAsia" w:eastAsia="方正仿宋_GBK" w:cs="仿宋_GB2312"/>
          <w:color w:val="auto"/>
          <w:sz w:val="32"/>
          <w:szCs w:val="32"/>
          <w:highlight w:val="none"/>
          <w:lang w:val="en-US" w:eastAsia="zh-CN"/>
        </w:rPr>
        <w:t>2897.54</w:t>
      </w:r>
      <w:r>
        <w:rPr>
          <w:rFonts w:hint="eastAsia" w:ascii="Times New Roman" w:hAnsi="Times New Roman" w:eastAsia="方正仿宋_GBK" w:cs="仿宋_GB2312"/>
          <w:color w:val="auto"/>
          <w:sz w:val="32"/>
          <w:szCs w:val="32"/>
          <w:highlight w:val="none"/>
          <w:lang w:val="en-US" w:eastAsia="zh-CN"/>
        </w:rPr>
        <w:t>万元，占总支出的</w:t>
      </w:r>
      <w:r>
        <w:rPr>
          <w:rFonts w:hint="eastAsia" w:eastAsia="方正仿宋_GBK" w:cs="仿宋_GB2312"/>
          <w:color w:val="auto"/>
          <w:sz w:val="32"/>
          <w:szCs w:val="32"/>
          <w:highlight w:val="none"/>
          <w:lang w:val="en-US" w:eastAsia="zh-CN"/>
        </w:rPr>
        <w:t>87.83</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val="en-US" w:eastAsia="zh-CN"/>
        </w:rPr>
        <w:t>；文化旅游体育与传媒支出</w:t>
      </w:r>
      <w:r>
        <w:rPr>
          <w:rFonts w:hint="eastAsia" w:eastAsia="方正仿宋_GBK" w:cs="仿宋_GB2312"/>
          <w:color w:val="auto"/>
          <w:sz w:val="32"/>
          <w:szCs w:val="32"/>
          <w:highlight w:val="none"/>
          <w:lang w:val="en-US" w:eastAsia="zh-CN"/>
        </w:rPr>
        <w:t>63.65</w:t>
      </w:r>
      <w:r>
        <w:rPr>
          <w:rFonts w:hint="eastAsia" w:ascii="Times New Roman" w:hAnsi="Times New Roman" w:eastAsia="方正仿宋_GBK" w:cs="仿宋_GB2312"/>
          <w:color w:val="auto"/>
          <w:sz w:val="32"/>
          <w:szCs w:val="32"/>
          <w:highlight w:val="none"/>
          <w:lang w:val="en-US" w:eastAsia="zh-CN"/>
        </w:rPr>
        <w:t>万元，占总支出的</w:t>
      </w:r>
      <w:r>
        <w:rPr>
          <w:rFonts w:hint="eastAsia" w:eastAsia="方正仿宋_GBK" w:cs="仿宋_GB2312"/>
          <w:color w:val="auto"/>
          <w:sz w:val="32"/>
          <w:szCs w:val="32"/>
          <w:highlight w:val="none"/>
          <w:lang w:val="en-US" w:eastAsia="zh-CN"/>
        </w:rPr>
        <w:t>1.93</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val="en-US" w:eastAsia="zh-CN"/>
        </w:rPr>
        <w:t>；社会保障和就业支出</w:t>
      </w:r>
      <w:r>
        <w:rPr>
          <w:rFonts w:hint="eastAsia" w:eastAsia="方正仿宋_GBK" w:cs="仿宋_GB2312"/>
          <w:color w:val="auto"/>
          <w:sz w:val="32"/>
          <w:szCs w:val="32"/>
          <w:highlight w:val="none"/>
          <w:lang w:val="en-US" w:eastAsia="zh-CN"/>
        </w:rPr>
        <w:t>150.39</w:t>
      </w:r>
      <w:r>
        <w:rPr>
          <w:rFonts w:hint="eastAsia" w:ascii="Times New Roman" w:hAnsi="Times New Roman" w:eastAsia="方正仿宋_GBK" w:cs="仿宋_GB2312"/>
          <w:color w:val="auto"/>
          <w:sz w:val="32"/>
          <w:szCs w:val="32"/>
          <w:highlight w:val="none"/>
          <w:lang w:val="en-US" w:eastAsia="zh-CN"/>
        </w:rPr>
        <w:t>万元，占总支出的</w:t>
      </w:r>
      <w:r>
        <w:rPr>
          <w:rFonts w:hint="eastAsia" w:eastAsia="方正仿宋_GBK" w:cs="仿宋_GB2312"/>
          <w:color w:val="auto"/>
          <w:sz w:val="32"/>
          <w:szCs w:val="32"/>
          <w:highlight w:val="none"/>
          <w:lang w:val="en-US" w:eastAsia="zh-CN"/>
        </w:rPr>
        <w:t>4.56</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val="en-US" w:eastAsia="zh-CN"/>
        </w:rPr>
        <w:t>；卫生健康支出</w:t>
      </w:r>
      <w:r>
        <w:rPr>
          <w:rFonts w:hint="eastAsia" w:eastAsia="方正仿宋_GBK" w:cs="仿宋_GB2312"/>
          <w:color w:val="auto"/>
          <w:sz w:val="32"/>
          <w:szCs w:val="32"/>
          <w:highlight w:val="none"/>
          <w:lang w:val="en-US" w:eastAsia="zh-CN"/>
        </w:rPr>
        <w:t>69.97</w:t>
      </w:r>
      <w:r>
        <w:rPr>
          <w:rFonts w:hint="eastAsia" w:ascii="Times New Roman" w:hAnsi="Times New Roman" w:eastAsia="方正仿宋_GBK" w:cs="仿宋_GB2312"/>
          <w:color w:val="auto"/>
          <w:sz w:val="32"/>
          <w:szCs w:val="32"/>
          <w:highlight w:val="none"/>
          <w:lang w:val="en-US" w:eastAsia="zh-CN"/>
        </w:rPr>
        <w:t>万元，占总支出的</w:t>
      </w:r>
      <w:r>
        <w:rPr>
          <w:rFonts w:hint="eastAsia" w:eastAsia="方正仿宋_GBK" w:cs="仿宋_GB2312"/>
          <w:color w:val="auto"/>
          <w:sz w:val="32"/>
          <w:szCs w:val="32"/>
          <w:highlight w:val="none"/>
          <w:lang w:val="en-US" w:eastAsia="zh-CN"/>
        </w:rPr>
        <w:t>2.12</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val="en-US" w:eastAsia="zh-CN"/>
        </w:rPr>
        <w:t>；住房保障支出1</w:t>
      </w:r>
      <w:r>
        <w:rPr>
          <w:rFonts w:hint="eastAsia" w:eastAsia="方正仿宋_GBK" w:cs="仿宋_GB2312"/>
          <w:color w:val="auto"/>
          <w:sz w:val="32"/>
          <w:szCs w:val="32"/>
          <w:highlight w:val="none"/>
          <w:lang w:val="en-US" w:eastAsia="zh-CN"/>
        </w:rPr>
        <w:t>08.58</w:t>
      </w:r>
      <w:r>
        <w:rPr>
          <w:rFonts w:hint="eastAsia" w:ascii="Times New Roman" w:hAnsi="Times New Roman" w:eastAsia="方正仿宋_GBK" w:cs="仿宋_GB2312"/>
          <w:color w:val="auto"/>
          <w:sz w:val="32"/>
          <w:szCs w:val="32"/>
          <w:highlight w:val="none"/>
          <w:lang w:val="en-US" w:eastAsia="zh-CN"/>
        </w:rPr>
        <w:t>万元，占总支出的3.</w:t>
      </w:r>
      <w:r>
        <w:rPr>
          <w:rFonts w:hint="eastAsia" w:eastAsia="方正仿宋_GBK" w:cs="仿宋_GB2312"/>
          <w:color w:val="auto"/>
          <w:sz w:val="32"/>
          <w:szCs w:val="32"/>
          <w:highlight w:val="none"/>
          <w:lang w:val="en-US" w:eastAsia="zh-CN"/>
        </w:rPr>
        <w:t>29</w:t>
      </w:r>
      <w:r>
        <w:rPr>
          <w:rFonts w:ascii="Times New Roman" w:hAnsi="Times New Roman" w:eastAsia="方正仿宋_GBK" w:cs="仿宋_GB2312"/>
          <w:color w:val="auto"/>
          <w:sz w:val="32"/>
          <w:szCs w:val="32"/>
          <w:highlight w:val="none"/>
          <w:lang w:val="en-US" w:eastAsia="zh-CN"/>
        </w:rPr>
        <w:t>%</w:t>
      </w:r>
      <w:r>
        <w:rPr>
          <w:rFonts w:hint="eastAsia" w:eastAsia="方正仿宋_GBK" w:cs="仿宋_GB2312"/>
          <w:color w:val="auto"/>
          <w:sz w:val="32"/>
          <w:szCs w:val="32"/>
          <w:highlight w:val="none"/>
          <w:lang w:val="en-US" w:eastAsia="zh-CN"/>
        </w:rPr>
        <w:t>；教育支出8.72万元，占总支出的0.27%</w:t>
      </w:r>
      <w:r>
        <w:rPr>
          <w:rFonts w:hint="eastAsia" w:ascii="Times New Roman" w:hAnsi="Times New Roman" w:eastAsia="方正仿宋_GBK" w:cs="仿宋_GB2312"/>
          <w:color w:val="auto"/>
          <w:sz w:val="32"/>
          <w:szCs w:val="32"/>
          <w:highlight w:val="none"/>
          <w:lang w:val="en-US" w:eastAsia="zh-CN"/>
        </w:rPr>
        <w:t>。</w:t>
      </w:r>
    </w:p>
    <w:p w14:paraId="0750D167">
      <w:pPr>
        <w:pStyle w:val="23"/>
        <w:keepNext w:val="0"/>
        <w:pageBreakBefore w:val="0"/>
        <w:widowControl w:val="0"/>
        <w:kinsoku/>
        <w:wordWrap/>
        <w:overflowPunct/>
        <w:topLinePunct w:val="0"/>
        <w:autoSpaceDN/>
        <w:bidi w:val="0"/>
        <w:rPr>
          <w:rFonts w:hint="eastAsia" w:ascii="Times New Roman" w:hAnsi="Times New Roman" w:eastAsia="方正仿宋_GBK" w:cs="Times New Roman"/>
          <w:kern w:val="2"/>
          <w:sz w:val="32"/>
          <w:szCs w:val="32"/>
          <w:lang w:val="en-US" w:eastAsia="zh-CN"/>
        </w:rPr>
      </w:pPr>
      <w:r>
        <w:rPr>
          <w:rFonts w:hint="eastAsia" w:ascii="Times New Roman" w:hAnsi="Times New Roman" w:eastAsia="方正仿宋_GBK" w:cs="Times New Roman"/>
          <w:kern w:val="2"/>
          <w:sz w:val="32"/>
          <w:szCs w:val="32"/>
          <w:lang w:val="en-US" w:eastAsia="zh-CN"/>
        </w:rPr>
        <w:drawing>
          <wp:inline distT="0" distB="0" distL="114300" distR="114300">
            <wp:extent cx="5256530" cy="2988310"/>
            <wp:effectExtent l="0" t="0" r="0" b="0"/>
            <wp:docPr id="9"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ADF893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Times New Roman" w:hAnsi="Times New Roman" w:eastAsia="方正仿宋_GBK" w:cs="仿宋_GB2312"/>
          <w:color w:val="auto"/>
          <w:sz w:val="28"/>
          <w:szCs w:val="28"/>
          <w:highlight w:val="none"/>
          <w:lang w:val="en-US" w:eastAsia="zh-CN"/>
        </w:rPr>
      </w:pPr>
      <w:r>
        <w:rPr>
          <w:rFonts w:hint="eastAsia" w:ascii="Times New Roman" w:hAnsi="Times New Roman" w:eastAsia="方正仿宋_GBK" w:cs="仿宋_GB2312"/>
          <w:color w:val="auto"/>
          <w:sz w:val="28"/>
          <w:szCs w:val="28"/>
          <w:highlight w:val="none"/>
          <w:lang w:val="en-US" w:eastAsia="zh-CN"/>
        </w:rPr>
        <w:t>（图6：一般公共预算财政拨款支出决算结构）（饼状图）</w:t>
      </w:r>
    </w:p>
    <w:p w14:paraId="413FAEC0">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楷体_GBK" w:cs="方正楷体_GBK"/>
          <w:color w:val="auto"/>
          <w:sz w:val="32"/>
          <w:szCs w:val="32"/>
          <w:highlight w:val="none"/>
          <w:lang w:eastAsia="zh-CN"/>
        </w:rPr>
      </w:pPr>
      <w:bookmarkStart w:id="31" w:name="_Toc15377212"/>
      <w:r>
        <w:rPr>
          <w:rFonts w:hint="eastAsia" w:ascii="Times New Roman" w:hAnsi="Times New Roman" w:eastAsia="方正楷体_GBK" w:cs="方正楷体_GBK"/>
          <w:color w:val="auto"/>
          <w:sz w:val="32"/>
          <w:szCs w:val="32"/>
          <w:highlight w:val="none"/>
          <w:lang w:eastAsia="zh-CN"/>
        </w:rPr>
        <w:t>（三）一般公共预算财政拨款支出决算具体情况</w:t>
      </w:r>
      <w:bookmarkEnd w:id="31"/>
    </w:p>
    <w:p w14:paraId="149044D9">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仿宋_GBK" w:cs="方正仿宋_GBK"/>
          <w:color w:val="auto"/>
          <w:sz w:val="32"/>
          <w:szCs w:val="32"/>
          <w:highlight w:val="none"/>
          <w:lang w:val="en-US" w:eastAsia="zh-CN"/>
        </w:rPr>
      </w:pPr>
      <w:bookmarkStart w:id="32" w:name="_Toc15377213"/>
      <w:bookmarkStart w:id="33" w:name="_Toc15377444"/>
      <w:bookmarkStart w:id="34" w:name="_Toc15378460"/>
      <w:r>
        <w:rPr>
          <w:rFonts w:hint="eastAsia" w:ascii="Times New Roman" w:hAnsi="Times New Roman" w:eastAsia="方正仿宋_GBK" w:cs="方正仿宋_GBK"/>
          <w:color w:val="auto"/>
          <w:sz w:val="32"/>
          <w:szCs w:val="32"/>
          <w:highlight w:val="none"/>
          <w:lang w:val="en-US" w:eastAsia="zh-CN"/>
        </w:rPr>
        <w:t>202</w:t>
      </w:r>
      <w:r>
        <w:rPr>
          <w:rFonts w:hint="eastAsia" w:eastAsia="方正仿宋_GBK" w:cs="方正仿宋_GBK"/>
          <w:color w:val="auto"/>
          <w:sz w:val="32"/>
          <w:szCs w:val="32"/>
          <w:highlight w:val="none"/>
          <w:lang w:val="en-US" w:eastAsia="zh-CN"/>
        </w:rPr>
        <w:t>5</w:t>
      </w:r>
      <w:r>
        <w:rPr>
          <w:rFonts w:hint="eastAsia" w:ascii="Times New Roman" w:hAnsi="Times New Roman" w:eastAsia="方正仿宋_GBK" w:cs="方正仿宋_GBK"/>
          <w:color w:val="auto"/>
          <w:sz w:val="32"/>
          <w:szCs w:val="32"/>
          <w:highlight w:val="none"/>
          <w:lang w:val="en-US" w:eastAsia="zh-CN"/>
        </w:rPr>
        <w:t>年度一般公共预算财政拨款支出决算数为</w:t>
      </w:r>
      <w:r>
        <w:rPr>
          <w:rFonts w:hint="eastAsia" w:eastAsia="方正仿宋_GBK" w:cs="方正仿宋_GBK"/>
          <w:color w:val="auto"/>
          <w:sz w:val="32"/>
          <w:szCs w:val="32"/>
          <w:highlight w:val="none"/>
          <w:lang w:val="en-US" w:eastAsia="zh-CN"/>
        </w:rPr>
        <w:t>3298.85</w:t>
      </w:r>
      <w:r>
        <w:rPr>
          <w:rFonts w:hint="eastAsia" w:ascii="Times New Roman" w:hAnsi="Times New Roman" w:eastAsia="方正仿宋_GBK" w:cs="方正仿宋_GBK"/>
          <w:color w:val="auto"/>
          <w:sz w:val="32"/>
          <w:szCs w:val="32"/>
          <w:highlight w:val="none"/>
          <w:lang w:val="en-US" w:eastAsia="zh-CN"/>
        </w:rPr>
        <w:t>万元，完成预算100%。其中：</w:t>
      </w:r>
      <w:bookmarkEnd w:id="32"/>
      <w:bookmarkEnd w:id="33"/>
      <w:bookmarkEnd w:id="34"/>
    </w:p>
    <w:p w14:paraId="07B696A1">
      <w:pPr>
        <w:keepNext w:val="0"/>
        <w:keepLines w:val="0"/>
        <w:pageBreakBefore w:val="0"/>
        <w:widowControl w:val="0"/>
        <w:suppressLineNumbers w:val="0"/>
        <w:suppressAutoHyphens/>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9"/>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color w:val="auto"/>
          <w:kern w:val="2"/>
          <w:sz w:val="32"/>
          <w:szCs w:val="32"/>
          <w:highlight w:val="none"/>
          <w:lang w:val="en-US" w:eastAsia="zh-CN" w:bidi="ar-SA"/>
        </w:rPr>
        <w:t>1.一般公共服务支出</w:t>
      </w:r>
      <w:r>
        <w:rPr>
          <w:rStyle w:val="33"/>
          <w:rFonts w:hint="eastAsia" w:ascii="Times New Roman" w:hAnsi="Times New Roman" w:eastAsia="方正仿宋_GBK" w:cs="方正仿宋_GBK"/>
          <w:b/>
          <w:bCs/>
          <w:kern w:val="2"/>
          <w:sz w:val="32"/>
          <w:szCs w:val="32"/>
          <w:lang w:val="en-US" w:eastAsia="zh-CN"/>
        </w:rPr>
        <w:t>（类）纪检监察事务（款）派驻派出机构（项）:</w:t>
      </w:r>
      <w:r>
        <w:rPr>
          <w:rFonts w:hint="eastAsia" w:ascii="Times New Roman" w:hAnsi="Times New Roman" w:eastAsia="方正仿宋_GBK" w:cs="方正仿宋_GBK"/>
          <w:color w:val="auto"/>
          <w:kern w:val="2"/>
          <w:sz w:val="32"/>
          <w:szCs w:val="32"/>
          <w:highlight w:val="none"/>
          <w:lang w:val="en-US" w:eastAsia="zh-CN" w:bidi="ar-SA"/>
        </w:rPr>
        <w:t>决算为</w:t>
      </w:r>
      <w:r>
        <w:rPr>
          <w:rFonts w:hint="eastAsia" w:eastAsia="方正仿宋_GBK" w:cs="方正仿宋_GBK"/>
          <w:color w:val="auto"/>
          <w:kern w:val="2"/>
          <w:sz w:val="32"/>
          <w:szCs w:val="32"/>
          <w:highlight w:val="none"/>
          <w:lang w:val="en-US" w:eastAsia="zh-CN" w:bidi="ar-SA"/>
        </w:rPr>
        <w:t>6.57</w:t>
      </w:r>
      <w:r>
        <w:rPr>
          <w:rFonts w:hint="eastAsia" w:ascii="Times New Roman" w:hAnsi="Times New Roman" w:eastAsia="方正仿宋_GBK" w:cs="方正仿宋_GBK"/>
          <w:color w:val="auto"/>
          <w:kern w:val="2"/>
          <w:sz w:val="32"/>
          <w:szCs w:val="32"/>
          <w:highlight w:val="none"/>
          <w:lang w:val="en-US" w:eastAsia="zh-CN" w:bidi="ar-SA"/>
        </w:rPr>
        <w:t>万元，完成预算100%。</w:t>
      </w:r>
    </w:p>
    <w:p w14:paraId="1E543513">
      <w:pPr>
        <w:keepNext w:val="0"/>
        <w:keepLines w:val="0"/>
        <w:pageBreakBefore w:val="0"/>
        <w:widowControl w:val="0"/>
        <w:suppressLineNumbers w:val="0"/>
        <w:suppressAutoHyphens/>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9"/>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color w:val="auto"/>
          <w:kern w:val="2"/>
          <w:sz w:val="32"/>
          <w:szCs w:val="32"/>
          <w:highlight w:val="none"/>
          <w:lang w:val="en-US" w:eastAsia="zh-CN" w:bidi="ar-SA"/>
        </w:rPr>
        <w:t>2.一般公共服务支出</w:t>
      </w:r>
      <w:r>
        <w:rPr>
          <w:rStyle w:val="33"/>
          <w:rFonts w:hint="eastAsia" w:ascii="Times New Roman" w:hAnsi="Times New Roman" w:eastAsia="方正仿宋_GBK" w:cs="方正仿宋_GBK"/>
          <w:b/>
          <w:bCs/>
          <w:kern w:val="2"/>
          <w:sz w:val="32"/>
          <w:szCs w:val="32"/>
          <w:lang w:val="en-US" w:eastAsia="zh-CN"/>
        </w:rPr>
        <w:t>（类）</w:t>
      </w:r>
      <w:r>
        <w:rPr>
          <w:rStyle w:val="33"/>
          <w:rFonts w:hint="eastAsia" w:eastAsia="方正仿宋_GBK" w:cs="方正仿宋_GBK"/>
          <w:b/>
          <w:bCs/>
          <w:kern w:val="2"/>
          <w:sz w:val="32"/>
          <w:szCs w:val="32"/>
          <w:lang w:val="en-US" w:eastAsia="zh-CN"/>
        </w:rPr>
        <w:t>党委办公厅及相关机构事务</w:t>
      </w:r>
      <w:r>
        <w:rPr>
          <w:rStyle w:val="33"/>
          <w:rFonts w:hint="eastAsia" w:ascii="Times New Roman" w:hAnsi="Times New Roman" w:eastAsia="方正仿宋_GBK" w:cs="方正仿宋_GBK"/>
          <w:b/>
          <w:bCs/>
          <w:kern w:val="2"/>
          <w:sz w:val="32"/>
          <w:szCs w:val="32"/>
          <w:lang w:val="en-US" w:eastAsia="zh-CN"/>
        </w:rPr>
        <w:t>（款）</w:t>
      </w:r>
      <w:r>
        <w:rPr>
          <w:rStyle w:val="33"/>
          <w:rFonts w:hint="eastAsia" w:eastAsia="方正仿宋_GBK" w:cs="方正仿宋_GBK"/>
          <w:b/>
          <w:bCs/>
          <w:kern w:val="2"/>
          <w:sz w:val="32"/>
          <w:szCs w:val="32"/>
          <w:lang w:val="en-US" w:eastAsia="zh-CN"/>
        </w:rPr>
        <w:t>行政运行</w:t>
      </w:r>
      <w:r>
        <w:rPr>
          <w:rStyle w:val="33"/>
          <w:rFonts w:hint="eastAsia" w:ascii="Times New Roman" w:hAnsi="Times New Roman" w:eastAsia="方正仿宋_GBK" w:cs="方正仿宋_GBK"/>
          <w:b/>
          <w:bCs/>
          <w:kern w:val="2"/>
          <w:sz w:val="32"/>
          <w:szCs w:val="32"/>
          <w:lang w:val="en-US" w:eastAsia="zh-CN"/>
        </w:rPr>
        <w:t>（项）:</w:t>
      </w:r>
      <w:r>
        <w:rPr>
          <w:rFonts w:hint="eastAsia" w:ascii="Times New Roman" w:hAnsi="Times New Roman" w:eastAsia="方正仿宋_GBK" w:cs="方正仿宋_GBK"/>
          <w:color w:val="auto"/>
          <w:kern w:val="2"/>
          <w:sz w:val="32"/>
          <w:szCs w:val="32"/>
          <w:highlight w:val="none"/>
          <w:lang w:val="en-US" w:eastAsia="zh-CN" w:bidi="ar-SA"/>
        </w:rPr>
        <w:t>决算为</w:t>
      </w:r>
      <w:r>
        <w:rPr>
          <w:rFonts w:hint="eastAsia" w:eastAsia="方正仿宋_GBK" w:cs="方正仿宋_GBK"/>
          <w:color w:val="auto"/>
          <w:kern w:val="2"/>
          <w:sz w:val="32"/>
          <w:szCs w:val="32"/>
          <w:highlight w:val="none"/>
          <w:lang w:val="en-US" w:eastAsia="zh-CN" w:bidi="ar-SA"/>
        </w:rPr>
        <w:t>9.66</w:t>
      </w:r>
      <w:r>
        <w:rPr>
          <w:rFonts w:hint="eastAsia" w:ascii="Times New Roman" w:hAnsi="Times New Roman" w:eastAsia="方正仿宋_GBK" w:cs="方正仿宋_GBK"/>
          <w:color w:val="auto"/>
          <w:kern w:val="2"/>
          <w:sz w:val="32"/>
          <w:szCs w:val="32"/>
          <w:highlight w:val="none"/>
          <w:lang w:val="en-US" w:eastAsia="zh-CN" w:bidi="ar-SA"/>
        </w:rPr>
        <w:t>万元，完成预算100%。</w:t>
      </w:r>
    </w:p>
    <w:p w14:paraId="56544E68">
      <w:pPr>
        <w:keepNext w:val="0"/>
        <w:keepLines w:val="0"/>
        <w:pageBreakBefore w:val="0"/>
        <w:widowControl w:val="0"/>
        <w:suppressLineNumbers w:val="0"/>
        <w:suppressAutoHyphens/>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9"/>
        <w:rPr>
          <w:rFonts w:hint="eastAsia" w:ascii="Times New Roman" w:hAnsi="Times New Roman" w:eastAsia="方正仿宋_GBK" w:cs="方正仿宋_GBK"/>
          <w:kern w:val="2"/>
          <w:sz w:val="32"/>
          <w:szCs w:val="32"/>
          <w:lang w:val="en-US" w:eastAsia="zh-CN"/>
        </w:rPr>
      </w:pPr>
      <w:r>
        <w:rPr>
          <w:rFonts w:hint="eastAsia" w:ascii="Times New Roman" w:hAnsi="Times New Roman" w:eastAsia="方正仿宋_GBK" w:cs="方正仿宋_GBK"/>
          <w:kern w:val="2"/>
          <w:sz w:val="32"/>
          <w:szCs w:val="32"/>
          <w:lang w:val="en-US" w:eastAsia="zh-CN"/>
        </w:rPr>
        <w:t>3.一般公共服务支出</w:t>
      </w:r>
      <w:r>
        <w:rPr>
          <w:rFonts w:hint="eastAsia" w:ascii="Times New Roman" w:hAnsi="Times New Roman" w:eastAsia="方正仿宋_GBK" w:cs="方正仿宋_GBK"/>
          <w:b/>
          <w:bCs/>
          <w:kern w:val="2"/>
          <w:sz w:val="32"/>
          <w:szCs w:val="32"/>
          <w:lang w:val="en-US" w:eastAsia="zh-CN"/>
        </w:rPr>
        <w:t>（类）宣传事务（款）行政运行（项）:</w:t>
      </w:r>
      <w:r>
        <w:rPr>
          <w:rFonts w:hint="eastAsia" w:ascii="Times New Roman" w:hAnsi="Times New Roman" w:eastAsia="方正仿宋_GBK" w:cs="方正仿宋_GBK"/>
          <w:kern w:val="2"/>
          <w:sz w:val="32"/>
          <w:szCs w:val="32"/>
          <w:lang w:val="en-US" w:eastAsia="zh-CN"/>
        </w:rPr>
        <w:t>决算为</w:t>
      </w:r>
      <w:r>
        <w:rPr>
          <w:rFonts w:hint="eastAsia" w:eastAsia="方正仿宋_GBK" w:cs="方正仿宋_GBK"/>
          <w:kern w:val="2"/>
          <w:sz w:val="32"/>
          <w:szCs w:val="32"/>
          <w:lang w:val="en-US" w:eastAsia="zh-CN"/>
        </w:rPr>
        <w:t>950.98</w:t>
      </w:r>
      <w:r>
        <w:rPr>
          <w:rFonts w:hint="eastAsia" w:ascii="Times New Roman" w:hAnsi="Times New Roman" w:eastAsia="方正仿宋_GBK" w:cs="方正仿宋_GBK"/>
          <w:kern w:val="2"/>
          <w:sz w:val="32"/>
          <w:szCs w:val="32"/>
          <w:lang w:val="en-US" w:eastAsia="zh-CN"/>
        </w:rPr>
        <w:t>万元，完成预算100%。</w:t>
      </w:r>
    </w:p>
    <w:p w14:paraId="3DF212A6">
      <w:pPr>
        <w:keepNext w:val="0"/>
        <w:keepLines w:val="0"/>
        <w:pageBreakBefore w:val="0"/>
        <w:widowControl w:val="0"/>
        <w:suppressLineNumbers w:val="0"/>
        <w:suppressAutoHyphens/>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9"/>
        <w:rPr>
          <w:rFonts w:hint="eastAsia" w:ascii="Times New Roman" w:hAnsi="Times New Roman" w:eastAsia="方正仿宋_GBK" w:cs="方正仿宋_GBK"/>
          <w:kern w:val="2"/>
          <w:sz w:val="32"/>
          <w:szCs w:val="32"/>
        </w:rPr>
      </w:pPr>
      <w:r>
        <w:rPr>
          <w:rFonts w:hint="eastAsia" w:ascii="Times New Roman" w:hAnsi="Times New Roman" w:eastAsia="方正仿宋_GBK" w:cs="方正仿宋_GBK"/>
          <w:kern w:val="2"/>
          <w:sz w:val="32"/>
          <w:szCs w:val="32"/>
          <w:lang w:val="en-US" w:eastAsia="zh-CN"/>
        </w:rPr>
        <w:t>4.一般公共服务支出</w:t>
      </w:r>
      <w:r>
        <w:rPr>
          <w:rFonts w:hint="eastAsia" w:ascii="Times New Roman" w:hAnsi="Times New Roman" w:eastAsia="方正仿宋_GBK" w:cs="方正仿宋_GBK"/>
          <w:b/>
          <w:bCs/>
          <w:kern w:val="2"/>
          <w:sz w:val="32"/>
          <w:szCs w:val="32"/>
          <w:lang w:val="en-US" w:eastAsia="zh-CN"/>
        </w:rPr>
        <w:t>（类）宣传事务（款）一般行政管理事务（项）:</w:t>
      </w:r>
      <w:r>
        <w:rPr>
          <w:rFonts w:hint="eastAsia" w:ascii="Times New Roman" w:hAnsi="Times New Roman" w:eastAsia="方正仿宋_GBK" w:cs="方正仿宋_GBK"/>
          <w:kern w:val="2"/>
          <w:sz w:val="32"/>
          <w:szCs w:val="32"/>
          <w:lang w:val="en-US" w:eastAsia="zh-CN"/>
        </w:rPr>
        <w:t>决算为</w:t>
      </w:r>
      <w:r>
        <w:rPr>
          <w:rFonts w:hint="eastAsia" w:eastAsia="方正仿宋_GBK" w:cs="方正仿宋_GBK"/>
          <w:kern w:val="2"/>
          <w:sz w:val="32"/>
          <w:szCs w:val="32"/>
          <w:lang w:val="en-US" w:eastAsia="zh-CN"/>
        </w:rPr>
        <w:t>683.74</w:t>
      </w:r>
      <w:r>
        <w:rPr>
          <w:rFonts w:hint="eastAsia" w:ascii="Times New Roman" w:hAnsi="Times New Roman" w:eastAsia="方正仿宋_GBK" w:cs="方正仿宋_GBK"/>
          <w:kern w:val="2"/>
          <w:sz w:val="32"/>
          <w:szCs w:val="32"/>
          <w:lang w:val="en-US" w:eastAsia="zh-CN"/>
        </w:rPr>
        <w:t>万元，完成预算100%。</w:t>
      </w:r>
    </w:p>
    <w:p w14:paraId="2B3CCC47">
      <w:pPr>
        <w:keepNext w:val="0"/>
        <w:keepLines w:val="0"/>
        <w:pageBreakBefore w:val="0"/>
        <w:widowControl w:val="0"/>
        <w:suppressLineNumbers w:val="0"/>
        <w:suppressAutoHyphens/>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9"/>
        <w:rPr>
          <w:rFonts w:hint="eastAsia" w:ascii="Times New Roman" w:hAnsi="Times New Roman" w:eastAsia="方正仿宋_GBK" w:cs="方正仿宋_GBK"/>
          <w:kern w:val="2"/>
          <w:sz w:val="32"/>
          <w:szCs w:val="32"/>
        </w:rPr>
      </w:pPr>
      <w:r>
        <w:rPr>
          <w:rFonts w:hint="eastAsia" w:ascii="Times New Roman" w:hAnsi="Times New Roman" w:eastAsia="方正仿宋_GBK" w:cs="方正仿宋_GBK"/>
          <w:kern w:val="2"/>
          <w:sz w:val="32"/>
          <w:szCs w:val="32"/>
          <w:lang w:val="en-US" w:eastAsia="zh-CN"/>
        </w:rPr>
        <w:t>5.一般公共服务支出</w:t>
      </w:r>
      <w:r>
        <w:rPr>
          <w:rFonts w:hint="eastAsia" w:ascii="Times New Roman" w:hAnsi="Times New Roman" w:eastAsia="方正仿宋_GBK" w:cs="方正仿宋_GBK"/>
          <w:b/>
          <w:bCs/>
          <w:kern w:val="2"/>
          <w:sz w:val="32"/>
          <w:szCs w:val="32"/>
          <w:lang w:val="en-US" w:eastAsia="zh-CN"/>
        </w:rPr>
        <w:t>（类）宣传事务（款）事业运行（项）:</w:t>
      </w:r>
      <w:r>
        <w:rPr>
          <w:rFonts w:hint="eastAsia" w:ascii="Times New Roman" w:hAnsi="Times New Roman" w:eastAsia="方正仿宋_GBK" w:cs="方正仿宋_GBK"/>
          <w:kern w:val="2"/>
          <w:sz w:val="32"/>
          <w:szCs w:val="32"/>
          <w:lang w:val="en-US" w:eastAsia="zh-CN"/>
        </w:rPr>
        <w:t>决算</w:t>
      </w:r>
      <w:r>
        <w:rPr>
          <w:rFonts w:hint="eastAsia" w:ascii="Times New Roman" w:hAnsi="Times New Roman" w:eastAsia="方正仿宋_GBK" w:cs="方正仿宋_GBK"/>
          <w:kern w:val="2"/>
          <w:sz w:val="32"/>
          <w:szCs w:val="32"/>
          <w:highlight w:val="none"/>
          <w:lang w:val="en-US" w:eastAsia="zh-CN"/>
        </w:rPr>
        <w:t>为</w:t>
      </w:r>
      <w:r>
        <w:rPr>
          <w:rFonts w:hint="eastAsia" w:eastAsia="方正仿宋_GBK" w:cs="方正仿宋_GBK"/>
          <w:kern w:val="2"/>
          <w:sz w:val="32"/>
          <w:szCs w:val="32"/>
          <w:highlight w:val="none"/>
          <w:lang w:val="en-US" w:eastAsia="zh-CN"/>
        </w:rPr>
        <w:t>447.67</w:t>
      </w:r>
      <w:r>
        <w:rPr>
          <w:rFonts w:hint="eastAsia" w:ascii="Times New Roman" w:hAnsi="Times New Roman" w:eastAsia="方正仿宋_GBK" w:cs="方正仿宋_GBK"/>
          <w:kern w:val="2"/>
          <w:sz w:val="32"/>
          <w:szCs w:val="32"/>
          <w:lang w:val="en-US" w:eastAsia="zh-CN"/>
        </w:rPr>
        <w:t>万元，完成预算100%。</w:t>
      </w:r>
    </w:p>
    <w:p w14:paraId="173617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9"/>
        <w:rPr>
          <w:rFonts w:hint="eastAsia" w:ascii="Times New Roman" w:hAnsi="Times New Roman" w:eastAsia="方正仿宋_GBK" w:cs="方正仿宋_GBK"/>
          <w:kern w:val="2"/>
          <w:sz w:val="32"/>
          <w:szCs w:val="32"/>
          <w:lang w:val="en-US" w:eastAsia="zh-CN"/>
        </w:rPr>
      </w:pPr>
      <w:r>
        <w:rPr>
          <w:rFonts w:hint="eastAsia" w:ascii="Times New Roman" w:hAnsi="Times New Roman" w:eastAsia="方正仿宋_GBK" w:cs="方正仿宋_GBK"/>
          <w:kern w:val="2"/>
          <w:sz w:val="32"/>
          <w:szCs w:val="32"/>
          <w:lang w:val="en-US" w:eastAsia="zh-CN"/>
        </w:rPr>
        <w:t>6.一般公共服务支出</w:t>
      </w:r>
      <w:r>
        <w:rPr>
          <w:rFonts w:hint="eastAsia" w:ascii="Times New Roman" w:hAnsi="Times New Roman" w:eastAsia="方正仿宋_GBK" w:cs="方正仿宋_GBK"/>
          <w:b/>
          <w:bCs/>
          <w:kern w:val="2"/>
          <w:sz w:val="32"/>
          <w:szCs w:val="32"/>
          <w:lang w:val="en-US" w:eastAsia="zh-CN"/>
        </w:rPr>
        <w:t>（类）宣传事务（款）其他宣传事务支出（项）:</w:t>
      </w:r>
      <w:r>
        <w:rPr>
          <w:rFonts w:hint="eastAsia" w:ascii="Times New Roman" w:hAnsi="Times New Roman" w:eastAsia="方正仿宋_GBK" w:cs="方正仿宋_GBK"/>
          <w:kern w:val="2"/>
          <w:sz w:val="32"/>
          <w:szCs w:val="32"/>
          <w:lang w:val="en-US" w:eastAsia="zh-CN"/>
        </w:rPr>
        <w:t>决算为</w:t>
      </w:r>
      <w:r>
        <w:rPr>
          <w:rFonts w:hint="eastAsia" w:eastAsia="方正仿宋_GBK" w:cs="方正仿宋_GBK"/>
          <w:kern w:val="2"/>
          <w:sz w:val="32"/>
          <w:szCs w:val="32"/>
          <w:lang w:val="en-US" w:eastAsia="zh-CN"/>
        </w:rPr>
        <w:t>592.36</w:t>
      </w:r>
      <w:r>
        <w:rPr>
          <w:rFonts w:hint="eastAsia" w:ascii="Times New Roman" w:hAnsi="Times New Roman" w:eastAsia="方正仿宋_GBK" w:cs="方正仿宋_GBK"/>
          <w:kern w:val="2"/>
          <w:sz w:val="32"/>
          <w:szCs w:val="32"/>
          <w:lang w:val="en-US" w:eastAsia="zh-CN"/>
        </w:rPr>
        <w:t>万元，完成预算100%。</w:t>
      </w:r>
    </w:p>
    <w:p w14:paraId="68D187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9"/>
        <w:rPr>
          <w:rFonts w:hint="eastAsia" w:ascii="Times New Roman" w:hAnsi="Times New Roman" w:eastAsia="方正仿宋_GBK" w:cs="方正仿宋_GBK"/>
          <w:kern w:val="2"/>
          <w:sz w:val="32"/>
          <w:szCs w:val="32"/>
          <w:lang w:val="en-US" w:eastAsia="zh-CN"/>
        </w:rPr>
      </w:pPr>
      <w:r>
        <w:rPr>
          <w:rFonts w:hint="eastAsia" w:ascii="Times New Roman" w:hAnsi="Times New Roman" w:eastAsia="方正仿宋_GBK" w:cs="方正仿宋_GBK"/>
          <w:kern w:val="2"/>
          <w:sz w:val="32"/>
          <w:szCs w:val="32"/>
          <w:lang w:val="en-US" w:eastAsia="zh-CN"/>
        </w:rPr>
        <w:t>7.一般公共服务支出（类）宣传事务（款）宣传管理（项）:决算为32万元，完成预算100%。</w:t>
      </w:r>
    </w:p>
    <w:p w14:paraId="2BC894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right="0" w:firstLine="420"/>
        <w:jc w:val="both"/>
        <w:textAlignment w:val="auto"/>
        <w:outlineLvl w:val="9"/>
        <w:rPr>
          <w:rFonts w:hint="eastAsia" w:ascii="Times New Roman" w:hAnsi="Times New Roman" w:eastAsia="方正仿宋_GBK" w:cs="方正仿宋_GBK"/>
          <w:kern w:val="2"/>
          <w:sz w:val="32"/>
          <w:szCs w:val="32"/>
          <w:lang w:val="en-US" w:eastAsia="zh-CN"/>
        </w:rPr>
      </w:pPr>
      <w:r>
        <w:rPr>
          <w:rFonts w:hint="eastAsia" w:ascii="Times New Roman" w:hAnsi="Times New Roman" w:eastAsia="方正仿宋_GBK" w:cs="方正仿宋_GBK"/>
          <w:kern w:val="2"/>
          <w:sz w:val="32"/>
          <w:szCs w:val="32"/>
          <w:lang w:val="en-US" w:eastAsia="zh-CN"/>
        </w:rPr>
        <w:t xml:space="preserve"> 8.一般公共服务支出（类）网信事务（款）行政运行（项）:决算为1.81万元，完成预算100%。</w:t>
      </w:r>
    </w:p>
    <w:p w14:paraId="108419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right="0" w:firstLine="640" w:firstLineChars="200"/>
        <w:jc w:val="both"/>
        <w:textAlignment w:val="auto"/>
        <w:outlineLvl w:val="9"/>
        <w:rPr>
          <w:lang w:val="en-US" w:eastAsia="zh-CN"/>
        </w:rPr>
      </w:pPr>
      <w:r>
        <w:rPr>
          <w:rFonts w:hint="eastAsia" w:ascii="Times New Roman" w:hAnsi="Times New Roman" w:eastAsia="方正仿宋_GBK" w:cs="方正仿宋_GBK"/>
          <w:kern w:val="2"/>
          <w:sz w:val="32"/>
          <w:szCs w:val="32"/>
          <w:lang w:val="en-US" w:eastAsia="zh-CN"/>
        </w:rPr>
        <w:t>9.教育支出（类）进修及培训（款）干部教育（项）:决算为8.72万元，完成预算100%。</w:t>
      </w:r>
    </w:p>
    <w:p w14:paraId="4E5369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9"/>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kern w:val="2"/>
          <w:sz w:val="32"/>
          <w:szCs w:val="32"/>
          <w:lang w:val="en-US" w:eastAsia="zh-CN"/>
        </w:rPr>
        <w:t>10.文化旅游体育与传媒（类）文化和旅游（款）文化创作与保护</w:t>
      </w:r>
      <w:r>
        <w:rPr>
          <w:rFonts w:hint="eastAsia" w:ascii="Times New Roman" w:hAnsi="Times New Roman" w:eastAsia="方正仿宋_GBK" w:cs="方正仿宋_GBK"/>
          <w:color w:val="auto"/>
          <w:kern w:val="2"/>
          <w:sz w:val="32"/>
          <w:szCs w:val="32"/>
          <w:highlight w:val="none"/>
          <w:lang w:val="en-US" w:eastAsia="zh-CN" w:bidi="ar-SA"/>
        </w:rPr>
        <w:t>（项）：支出决算为</w:t>
      </w:r>
      <w:r>
        <w:rPr>
          <w:rFonts w:hint="eastAsia" w:eastAsia="方正仿宋_GBK" w:cs="方正仿宋_GBK"/>
          <w:color w:val="auto"/>
          <w:kern w:val="2"/>
          <w:sz w:val="32"/>
          <w:szCs w:val="32"/>
          <w:highlight w:val="none"/>
          <w:lang w:val="en-US" w:eastAsia="zh-CN" w:bidi="ar-SA"/>
        </w:rPr>
        <w:t>60.65</w:t>
      </w:r>
      <w:r>
        <w:rPr>
          <w:rFonts w:hint="eastAsia" w:ascii="Times New Roman" w:hAnsi="Times New Roman" w:eastAsia="方正仿宋_GBK" w:cs="方正仿宋_GBK"/>
          <w:color w:val="auto"/>
          <w:kern w:val="2"/>
          <w:sz w:val="32"/>
          <w:szCs w:val="32"/>
          <w:highlight w:val="none"/>
          <w:lang w:val="en-US" w:eastAsia="zh-CN" w:bidi="ar-SA"/>
        </w:rPr>
        <w:t>万元，完成预算100%。</w:t>
      </w:r>
    </w:p>
    <w:p w14:paraId="649637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9"/>
        <w:rPr>
          <w:rFonts w:hint="eastAsia" w:ascii="Times New Roman" w:hAnsi="Times New Roman" w:eastAsia="方正仿宋_GBK" w:cs="方正仿宋_GBK"/>
          <w:color w:val="auto"/>
          <w:kern w:val="2"/>
          <w:sz w:val="32"/>
          <w:szCs w:val="32"/>
          <w:highlight w:val="none"/>
          <w:lang w:val="en-US" w:eastAsia="zh-CN" w:bidi="ar-SA"/>
        </w:rPr>
      </w:pPr>
      <w:r>
        <w:rPr>
          <w:rFonts w:hint="eastAsia" w:eastAsia="方正仿宋_GBK" w:cs="方正仿宋_GBK"/>
          <w:color w:val="auto"/>
          <w:kern w:val="2"/>
          <w:sz w:val="32"/>
          <w:szCs w:val="32"/>
          <w:highlight w:val="none"/>
          <w:lang w:val="en-US" w:eastAsia="zh-CN" w:bidi="ar-SA"/>
        </w:rPr>
        <w:t>11</w:t>
      </w:r>
      <w:r>
        <w:rPr>
          <w:rFonts w:hint="eastAsia" w:ascii="Times New Roman" w:hAnsi="Times New Roman" w:eastAsia="方正仿宋_GBK" w:cs="方正仿宋_GBK"/>
          <w:color w:val="auto"/>
          <w:kern w:val="2"/>
          <w:sz w:val="32"/>
          <w:szCs w:val="32"/>
          <w:highlight w:val="none"/>
          <w:lang w:val="en-US" w:eastAsia="zh-CN" w:bidi="ar-SA"/>
        </w:rPr>
        <w:t>.文化旅游体育与传媒（类）其他</w:t>
      </w:r>
      <w:r>
        <w:rPr>
          <w:rFonts w:hint="eastAsia" w:ascii="Times New Roman" w:hAnsi="Times New Roman" w:eastAsia="方正仿宋_GBK" w:cs="方正仿宋_GBK"/>
          <w:kern w:val="2"/>
          <w:sz w:val="32"/>
          <w:szCs w:val="32"/>
          <w:lang w:val="en-US" w:eastAsia="zh-CN"/>
        </w:rPr>
        <w:t>文化旅游体育与传媒支出</w:t>
      </w:r>
      <w:r>
        <w:rPr>
          <w:rFonts w:hint="eastAsia" w:ascii="Times New Roman" w:hAnsi="Times New Roman" w:eastAsia="方正仿宋_GBK" w:cs="方正仿宋_GBK"/>
          <w:color w:val="auto"/>
          <w:kern w:val="2"/>
          <w:sz w:val="32"/>
          <w:szCs w:val="32"/>
          <w:highlight w:val="none"/>
          <w:lang w:val="en-US" w:eastAsia="zh-CN" w:bidi="ar-SA"/>
        </w:rPr>
        <w:t>（款）其他</w:t>
      </w:r>
      <w:r>
        <w:rPr>
          <w:rFonts w:hint="eastAsia" w:ascii="Times New Roman" w:hAnsi="Times New Roman" w:eastAsia="方正仿宋_GBK" w:cs="方正仿宋_GBK"/>
          <w:kern w:val="2"/>
          <w:sz w:val="32"/>
          <w:szCs w:val="32"/>
          <w:lang w:val="en-US" w:eastAsia="zh-CN"/>
        </w:rPr>
        <w:t>文化旅游体育与传媒支出</w:t>
      </w:r>
      <w:r>
        <w:rPr>
          <w:rFonts w:hint="eastAsia" w:ascii="Times New Roman" w:hAnsi="Times New Roman" w:eastAsia="方正仿宋_GBK" w:cs="方正仿宋_GBK"/>
          <w:color w:val="auto"/>
          <w:kern w:val="2"/>
          <w:sz w:val="32"/>
          <w:szCs w:val="32"/>
          <w:highlight w:val="none"/>
          <w:lang w:val="en-US" w:eastAsia="zh-CN" w:bidi="ar-SA"/>
        </w:rPr>
        <w:t>（项）：支出决算为</w:t>
      </w:r>
      <w:r>
        <w:rPr>
          <w:rFonts w:hint="eastAsia" w:eastAsia="方正仿宋_GBK" w:cs="方正仿宋_GBK"/>
          <w:color w:val="auto"/>
          <w:kern w:val="2"/>
          <w:sz w:val="32"/>
          <w:szCs w:val="32"/>
          <w:highlight w:val="none"/>
          <w:lang w:val="en-US" w:eastAsia="zh-CN" w:bidi="ar-SA"/>
        </w:rPr>
        <w:t>3</w:t>
      </w:r>
      <w:r>
        <w:rPr>
          <w:rFonts w:hint="eastAsia" w:ascii="Times New Roman" w:hAnsi="Times New Roman" w:eastAsia="方正仿宋_GBK" w:cs="方正仿宋_GBK"/>
          <w:color w:val="auto"/>
          <w:kern w:val="2"/>
          <w:sz w:val="32"/>
          <w:szCs w:val="32"/>
          <w:highlight w:val="none"/>
          <w:lang w:val="en-US" w:eastAsia="zh-CN" w:bidi="ar-SA"/>
        </w:rPr>
        <w:t>万元，完成预算100%。</w:t>
      </w:r>
    </w:p>
    <w:p w14:paraId="48CCFF2B">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9"/>
        <w:rPr>
          <w:rFonts w:hint="eastAsia" w:ascii="Times New Roman" w:hAnsi="Times New Roman" w:eastAsia="方正仿宋_GBK" w:cs="方正仿宋_GBK"/>
          <w:color w:val="auto"/>
          <w:kern w:val="2"/>
          <w:sz w:val="32"/>
          <w:szCs w:val="32"/>
          <w:highlight w:val="none"/>
          <w:lang w:val="en-US" w:eastAsia="zh-CN" w:bidi="ar-SA"/>
        </w:rPr>
      </w:pPr>
      <w:r>
        <w:rPr>
          <w:rFonts w:hint="eastAsia" w:eastAsia="方正仿宋_GBK" w:cs="方正仿宋_GBK"/>
          <w:color w:val="auto"/>
          <w:kern w:val="2"/>
          <w:sz w:val="32"/>
          <w:szCs w:val="32"/>
          <w:highlight w:val="none"/>
          <w:lang w:val="en-US" w:eastAsia="zh-CN" w:bidi="ar-SA"/>
        </w:rPr>
        <w:t>12</w:t>
      </w:r>
      <w:r>
        <w:rPr>
          <w:rFonts w:hint="eastAsia" w:ascii="Times New Roman" w:hAnsi="Times New Roman" w:eastAsia="方正仿宋_GBK" w:cs="方正仿宋_GBK"/>
          <w:color w:val="auto"/>
          <w:kern w:val="2"/>
          <w:sz w:val="32"/>
          <w:szCs w:val="32"/>
          <w:highlight w:val="none"/>
          <w:lang w:val="en-US" w:eastAsia="zh-CN" w:bidi="ar-SA"/>
        </w:rPr>
        <w:t>.社会保障和就业（类）行政事业单位养老支出（款）机关事业单位基本养老保险缴费支出（项）：支出决算为144.7</w:t>
      </w:r>
      <w:r>
        <w:rPr>
          <w:rFonts w:hint="eastAsia" w:eastAsia="方正仿宋_GBK" w:cs="方正仿宋_GBK"/>
          <w:color w:val="auto"/>
          <w:kern w:val="2"/>
          <w:sz w:val="32"/>
          <w:szCs w:val="32"/>
          <w:highlight w:val="none"/>
          <w:lang w:val="en-US" w:eastAsia="zh-CN" w:bidi="ar-SA"/>
        </w:rPr>
        <w:t>2</w:t>
      </w:r>
      <w:r>
        <w:rPr>
          <w:rFonts w:hint="eastAsia" w:ascii="Times New Roman" w:hAnsi="Times New Roman" w:eastAsia="方正仿宋_GBK" w:cs="方正仿宋_GBK"/>
          <w:color w:val="auto"/>
          <w:kern w:val="2"/>
          <w:sz w:val="32"/>
          <w:szCs w:val="32"/>
          <w:highlight w:val="none"/>
          <w:lang w:val="en-US" w:eastAsia="zh-CN" w:bidi="ar-SA"/>
        </w:rPr>
        <w:t>万元，完成预算100%。</w:t>
      </w:r>
    </w:p>
    <w:p w14:paraId="6A3668D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9"/>
        <w:rPr>
          <w:rFonts w:hint="eastAsia" w:ascii="Times New Roman" w:hAnsi="Times New Roman" w:eastAsia="方正仿宋_GBK" w:cs="方正仿宋_GBK"/>
          <w:color w:val="auto"/>
          <w:kern w:val="2"/>
          <w:sz w:val="32"/>
          <w:szCs w:val="32"/>
          <w:highlight w:val="none"/>
          <w:lang w:val="en-US" w:eastAsia="zh-CN" w:bidi="ar-SA"/>
        </w:rPr>
      </w:pPr>
      <w:r>
        <w:rPr>
          <w:rFonts w:hint="eastAsia" w:eastAsia="方正仿宋_GBK" w:cs="方正仿宋_GBK"/>
          <w:color w:val="auto"/>
          <w:kern w:val="2"/>
          <w:sz w:val="32"/>
          <w:szCs w:val="32"/>
          <w:highlight w:val="none"/>
          <w:lang w:val="en-US" w:eastAsia="zh-CN" w:bidi="ar-SA"/>
        </w:rPr>
        <w:t>13</w:t>
      </w:r>
      <w:r>
        <w:rPr>
          <w:rFonts w:hint="eastAsia" w:ascii="Times New Roman" w:hAnsi="Times New Roman" w:eastAsia="方正仿宋_GBK" w:cs="方正仿宋_GBK"/>
          <w:color w:val="auto"/>
          <w:kern w:val="2"/>
          <w:sz w:val="32"/>
          <w:szCs w:val="32"/>
          <w:highlight w:val="none"/>
          <w:lang w:val="en-US" w:eastAsia="zh-CN" w:bidi="ar-SA"/>
        </w:rPr>
        <w:t>.社会保障和就业（类）抚恤（款）伤残抚恤（项）：支出决算为5.53万元，完成预算100%。</w:t>
      </w:r>
    </w:p>
    <w:p w14:paraId="1C7F3398">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9"/>
        <w:rPr>
          <w:rFonts w:hint="eastAsia"/>
          <w:lang w:val="en-US" w:eastAsia="zh-CN"/>
        </w:rPr>
      </w:pPr>
      <w:r>
        <w:rPr>
          <w:rFonts w:hint="eastAsia" w:eastAsia="方正仿宋_GBK" w:cs="方正仿宋_GBK"/>
          <w:color w:val="auto"/>
          <w:kern w:val="2"/>
          <w:sz w:val="32"/>
          <w:szCs w:val="32"/>
          <w:highlight w:val="none"/>
          <w:lang w:val="en-US" w:eastAsia="zh-CN" w:bidi="ar-SA"/>
        </w:rPr>
        <w:t>14</w:t>
      </w:r>
      <w:r>
        <w:rPr>
          <w:rFonts w:hint="eastAsia" w:ascii="Times New Roman" w:hAnsi="Times New Roman" w:eastAsia="方正仿宋_GBK" w:cs="方正仿宋_GBK"/>
          <w:color w:val="auto"/>
          <w:kern w:val="2"/>
          <w:sz w:val="32"/>
          <w:szCs w:val="32"/>
          <w:highlight w:val="none"/>
          <w:lang w:val="en-US" w:eastAsia="zh-CN" w:bidi="ar-SA"/>
        </w:rPr>
        <w:t>.社会保障和就业（类）其他社会保障和就业支出（款）其他社会保障和就业支出（项）：支出决算为0.14万元，完成预算100%。</w:t>
      </w:r>
    </w:p>
    <w:p w14:paraId="7606FD00">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9"/>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1</w:t>
      </w:r>
      <w:r>
        <w:rPr>
          <w:rFonts w:hint="eastAsia" w:eastAsia="方正仿宋_GBK" w:cs="方正仿宋_GBK"/>
          <w:color w:val="auto"/>
          <w:kern w:val="2"/>
          <w:sz w:val="32"/>
          <w:szCs w:val="32"/>
          <w:highlight w:val="none"/>
          <w:lang w:val="en-US" w:eastAsia="zh-CN" w:bidi="ar-SA"/>
        </w:rPr>
        <w:t>5</w:t>
      </w:r>
      <w:r>
        <w:rPr>
          <w:rFonts w:hint="eastAsia" w:ascii="Times New Roman" w:hAnsi="Times New Roman" w:eastAsia="方正仿宋_GBK" w:cs="方正仿宋_GBK"/>
          <w:color w:val="auto"/>
          <w:kern w:val="2"/>
          <w:sz w:val="32"/>
          <w:szCs w:val="32"/>
          <w:highlight w:val="none"/>
          <w:lang w:val="en-US" w:eastAsia="zh-CN" w:bidi="ar-SA"/>
        </w:rPr>
        <w:t>.卫生健康（类）行政事业单位医疗（款）行政单位医疗（项）：支出决算为</w:t>
      </w:r>
      <w:r>
        <w:rPr>
          <w:rFonts w:hint="eastAsia" w:eastAsia="方正仿宋_GBK" w:cs="方正仿宋_GBK"/>
          <w:color w:val="auto"/>
          <w:kern w:val="2"/>
          <w:sz w:val="32"/>
          <w:szCs w:val="32"/>
          <w:highlight w:val="none"/>
          <w:lang w:val="en-US" w:eastAsia="zh-CN" w:bidi="ar-SA"/>
        </w:rPr>
        <w:t>34.96</w:t>
      </w:r>
      <w:r>
        <w:rPr>
          <w:rFonts w:hint="eastAsia" w:ascii="Times New Roman" w:hAnsi="Times New Roman" w:eastAsia="方正仿宋_GBK" w:cs="方正仿宋_GBK"/>
          <w:color w:val="auto"/>
          <w:kern w:val="2"/>
          <w:sz w:val="32"/>
          <w:szCs w:val="32"/>
          <w:highlight w:val="none"/>
          <w:lang w:val="en-US" w:eastAsia="zh-CN" w:bidi="ar-SA"/>
        </w:rPr>
        <w:t>万元，完成预算100%。</w:t>
      </w:r>
    </w:p>
    <w:p w14:paraId="2915106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9"/>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1</w:t>
      </w:r>
      <w:r>
        <w:rPr>
          <w:rFonts w:hint="eastAsia" w:eastAsia="方正仿宋_GBK" w:cs="方正仿宋_GBK"/>
          <w:color w:val="auto"/>
          <w:kern w:val="2"/>
          <w:sz w:val="32"/>
          <w:szCs w:val="32"/>
          <w:highlight w:val="none"/>
          <w:lang w:val="en-US" w:eastAsia="zh-CN" w:bidi="ar-SA"/>
        </w:rPr>
        <w:t>6</w:t>
      </w:r>
      <w:r>
        <w:rPr>
          <w:rFonts w:hint="eastAsia" w:ascii="Times New Roman" w:hAnsi="Times New Roman" w:eastAsia="方正仿宋_GBK" w:cs="方正仿宋_GBK"/>
          <w:color w:val="auto"/>
          <w:kern w:val="2"/>
          <w:sz w:val="32"/>
          <w:szCs w:val="32"/>
          <w:highlight w:val="none"/>
          <w:lang w:val="en-US" w:eastAsia="zh-CN" w:bidi="ar-SA"/>
        </w:rPr>
        <w:t>.卫生健康（类）行政事业单位医疗（款）事业单位医疗（项）：支出决算为</w:t>
      </w:r>
      <w:r>
        <w:rPr>
          <w:rFonts w:hint="eastAsia" w:eastAsia="方正仿宋_GBK" w:cs="方正仿宋_GBK"/>
          <w:color w:val="auto"/>
          <w:kern w:val="2"/>
          <w:sz w:val="32"/>
          <w:szCs w:val="32"/>
          <w:highlight w:val="none"/>
          <w:lang w:val="en-US" w:eastAsia="zh-CN" w:bidi="ar-SA"/>
        </w:rPr>
        <w:t>23.62</w:t>
      </w:r>
      <w:r>
        <w:rPr>
          <w:rFonts w:hint="eastAsia" w:ascii="Times New Roman" w:hAnsi="Times New Roman" w:eastAsia="方正仿宋_GBK" w:cs="方正仿宋_GBK"/>
          <w:color w:val="auto"/>
          <w:kern w:val="2"/>
          <w:sz w:val="32"/>
          <w:szCs w:val="32"/>
          <w:highlight w:val="none"/>
          <w:lang w:val="en-US" w:eastAsia="zh-CN" w:bidi="ar-SA"/>
        </w:rPr>
        <w:t>万元，完成预算100%。</w:t>
      </w:r>
    </w:p>
    <w:p w14:paraId="631054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9"/>
        <w:rPr>
          <w:rFonts w:hint="eastAsia" w:ascii="Times New Roman" w:hAnsi="Times New Roman" w:eastAsia="方正仿宋_GBK" w:cs="方正仿宋_GBK"/>
          <w:kern w:val="2"/>
          <w:sz w:val="32"/>
          <w:szCs w:val="32"/>
          <w:lang w:val="en-US" w:eastAsia="zh-CN"/>
        </w:rPr>
      </w:pPr>
      <w:r>
        <w:rPr>
          <w:rFonts w:hint="eastAsia" w:ascii="Times New Roman" w:hAnsi="Times New Roman" w:eastAsia="方正仿宋_GBK" w:cs="方正仿宋_GBK"/>
          <w:kern w:val="2"/>
          <w:sz w:val="32"/>
          <w:szCs w:val="32"/>
          <w:lang w:val="en-US" w:eastAsia="zh-CN"/>
        </w:rPr>
        <w:t>1</w:t>
      </w:r>
      <w:r>
        <w:rPr>
          <w:rFonts w:hint="eastAsia" w:eastAsia="方正仿宋_GBK" w:cs="方正仿宋_GBK"/>
          <w:kern w:val="2"/>
          <w:sz w:val="32"/>
          <w:szCs w:val="32"/>
          <w:lang w:val="en-US" w:eastAsia="zh-CN"/>
        </w:rPr>
        <w:t>7</w:t>
      </w:r>
      <w:r>
        <w:rPr>
          <w:rFonts w:hint="eastAsia" w:ascii="Times New Roman" w:hAnsi="Times New Roman" w:eastAsia="方正仿宋_GBK" w:cs="方正仿宋_GBK"/>
          <w:kern w:val="2"/>
          <w:sz w:val="32"/>
          <w:szCs w:val="32"/>
          <w:lang w:val="en-US" w:eastAsia="zh-CN"/>
        </w:rPr>
        <w:t>.卫生健康（类）行政事业单位医疗（款）公务员医疗补助（项）：支出决算为</w:t>
      </w:r>
      <w:r>
        <w:rPr>
          <w:rFonts w:hint="eastAsia" w:eastAsia="方正仿宋_GBK" w:cs="方正仿宋_GBK"/>
          <w:kern w:val="2"/>
          <w:sz w:val="32"/>
          <w:szCs w:val="32"/>
          <w:lang w:val="en-US" w:eastAsia="zh-CN"/>
        </w:rPr>
        <w:t>7.4</w:t>
      </w:r>
      <w:r>
        <w:rPr>
          <w:rFonts w:hint="eastAsia" w:ascii="Times New Roman" w:hAnsi="Times New Roman" w:eastAsia="方正仿宋_GBK" w:cs="方正仿宋_GBK"/>
          <w:kern w:val="2"/>
          <w:sz w:val="32"/>
          <w:szCs w:val="32"/>
          <w:lang w:val="en-US" w:eastAsia="zh-CN"/>
        </w:rPr>
        <w:t>万元，完成预算100%。</w:t>
      </w:r>
    </w:p>
    <w:p w14:paraId="2BEF41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9"/>
        <w:rPr>
          <w:rFonts w:hint="eastAsia" w:ascii="Times New Roman" w:hAnsi="Times New Roman" w:eastAsia="方正仿宋_GBK" w:cs="方正仿宋_GBK"/>
          <w:kern w:val="2"/>
          <w:sz w:val="32"/>
          <w:szCs w:val="32"/>
          <w:lang w:val="en-US" w:eastAsia="zh-CN"/>
        </w:rPr>
      </w:pPr>
      <w:r>
        <w:rPr>
          <w:rFonts w:hint="eastAsia" w:ascii="Times New Roman" w:hAnsi="Times New Roman" w:eastAsia="方正仿宋_GBK" w:cs="方正仿宋_GBK"/>
          <w:kern w:val="2"/>
          <w:sz w:val="32"/>
          <w:szCs w:val="32"/>
          <w:lang w:val="en-US" w:eastAsia="zh-CN"/>
        </w:rPr>
        <w:t>1</w:t>
      </w:r>
      <w:r>
        <w:rPr>
          <w:rFonts w:hint="eastAsia" w:eastAsia="方正仿宋_GBK" w:cs="方正仿宋_GBK"/>
          <w:kern w:val="2"/>
          <w:sz w:val="32"/>
          <w:szCs w:val="32"/>
          <w:lang w:val="en-US" w:eastAsia="zh-CN"/>
        </w:rPr>
        <w:t>8</w:t>
      </w:r>
      <w:r>
        <w:rPr>
          <w:rFonts w:hint="eastAsia" w:ascii="Times New Roman" w:hAnsi="Times New Roman" w:eastAsia="方正仿宋_GBK" w:cs="方正仿宋_GBK"/>
          <w:kern w:val="2"/>
          <w:sz w:val="32"/>
          <w:szCs w:val="32"/>
          <w:lang w:val="en-US" w:eastAsia="zh-CN"/>
        </w:rPr>
        <w:t>.卫生健康（类）行政事业单位医疗（款）其他行政事业单位医疗支出（项）：支出决算为</w:t>
      </w:r>
      <w:r>
        <w:rPr>
          <w:rFonts w:hint="eastAsia" w:eastAsia="方正仿宋_GBK" w:cs="方正仿宋_GBK"/>
          <w:kern w:val="2"/>
          <w:sz w:val="32"/>
          <w:szCs w:val="32"/>
          <w:lang w:val="en-US" w:eastAsia="zh-CN"/>
        </w:rPr>
        <w:t>3.99</w:t>
      </w:r>
      <w:r>
        <w:rPr>
          <w:rFonts w:hint="eastAsia" w:ascii="Times New Roman" w:hAnsi="Times New Roman" w:eastAsia="方正仿宋_GBK" w:cs="方正仿宋_GBK"/>
          <w:kern w:val="2"/>
          <w:sz w:val="32"/>
          <w:szCs w:val="32"/>
          <w:lang w:val="en-US" w:eastAsia="zh-CN"/>
        </w:rPr>
        <w:t>万元，完成预算100%。</w:t>
      </w:r>
    </w:p>
    <w:p w14:paraId="1C46AB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9"/>
        <w:rPr>
          <w:rFonts w:hint="eastAsia" w:ascii="Times New Roman" w:hAnsi="Times New Roman" w:eastAsia="方正仿宋_GBK" w:cs="方正仿宋_GBK"/>
          <w:kern w:val="2"/>
          <w:sz w:val="32"/>
          <w:szCs w:val="32"/>
        </w:rPr>
      </w:pPr>
      <w:r>
        <w:rPr>
          <w:rFonts w:hint="eastAsia" w:ascii="Times New Roman" w:hAnsi="Times New Roman" w:eastAsia="方正仿宋_GBK" w:cs="方正仿宋_GBK"/>
          <w:kern w:val="2"/>
          <w:sz w:val="32"/>
          <w:szCs w:val="32"/>
          <w:lang w:val="en-US" w:eastAsia="zh-CN"/>
        </w:rPr>
        <w:t>1</w:t>
      </w:r>
      <w:r>
        <w:rPr>
          <w:rFonts w:hint="eastAsia" w:eastAsia="方正仿宋_GBK" w:cs="方正仿宋_GBK"/>
          <w:kern w:val="2"/>
          <w:sz w:val="32"/>
          <w:szCs w:val="32"/>
          <w:lang w:val="en-US" w:eastAsia="zh-CN"/>
        </w:rPr>
        <w:t>9</w:t>
      </w:r>
      <w:r>
        <w:rPr>
          <w:rFonts w:hint="eastAsia" w:ascii="Times New Roman" w:hAnsi="Times New Roman" w:eastAsia="方正仿宋_GBK" w:cs="方正仿宋_GBK"/>
          <w:kern w:val="2"/>
          <w:sz w:val="32"/>
          <w:szCs w:val="32"/>
          <w:lang w:val="en-US" w:eastAsia="zh-CN"/>
        </w:rPr>
        <w:t>.住房保障（类）住房改革支出（款）住房公积金（项）：支出决算为</w:t>
      </w:r>
      <w:r>
        <w:rPr>
          <w:rFonts w:hint="eastAsia" w:eastAsia="方正仿宋_GBK" w:cs="方正仿宋_GBK"/>
          <w:kern w:val="2"/>
          <w:sz w:val="32"/>
          <w:szCs w:val="32"/>
          <w:lang w:val="en-US" w:eastAsia="zh-CN"/>
        </w:rPr>
        <w:t>108.58</w:t>
      </w:r>
      <w:r>
        <w:rPr>
          <w:rFonts w:hint="eastAsia" w:ascii="Times New Roman" w:hAnsi="Times New Roman" w:eastAsia="方正仿宋_GBK" w:cs="方正仿宋_GBK"/>
          <w:kern w:val="2"/>
          <w:sz w:val="32"/>
          <w:szCs w:val="32"/>
          <w:lang w:val="en-US" w:eastAsia="zh-CN"/>
        </w:rPr>
        <w:t>万元，完成预算100%。</w:t>
      </w:r>
    </w:p>
    <w:p w14:paraId="1027956C">
      <w:pPr>
        <w:pStyle w:val="29"/>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35" w:name="_Toc15396608"/>
      <w:bookmarkStart w:id="36" w:name="_Toc15377214"/>
      <w:bookmarkStart w:id="37" w:name="_Toc25138"/>
      <w:r>
        <w:rPr>
          <w:rFonts w:hint="eastAsia" w:ascii="Times New Roman" w:hAnsi="Times New Roman" w:eastAsia="方正黑体_GBK" w:cs="方正黑体_GBK"/>
          <w:color w:val="auto"/>
          <w:sz w:val="32"/>
          <w:szCs w:val="32"/>
          <w:highlight w:val="none"/>
          <w:lang w:eastAsia="zh-CN"/>
        </w:rPr>
        <w:t>六、一般公共预算财政拨款基本支出决算情况说明</w:t>
      </w:r>
      <w:bookmarkEnd w:id="35"/>
      <w:bookmarkEnd w:id="36"/>
      <w:bookmarkEnd w:id="37"/>
      <w:r>
        <w:rPr>
          <w:rFonts w:hint="eastAsia" w:ascii="Times New Roman" w:hAnsi="Times New Roman" w:eastAsia="方正黑体_GBK" w:cs="方正黑体_GBK"/>
          <w:color w:val="auto"/>
          <w:sz w:val="32"/>
          <w:szCs w:val="32"/>
          <w:highlight w:val="none"/>
          <w:lang w:eastAsia="zh-CN"/>
        </w:rPr>
        <w:tab/>
      </w:r>
    </w:p>
    <w:p w14:paraId="3D8276F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w:t>
      </w:r>
      <w:r>
        <w:rPr>
          <w:rFonts w:hint="eastAsia" w:eastAsia="方正仿宋_GBK" w:cs="方正仿宋_GBK"/>
          <w:color w:val="auto"/>
          <w:kern w:val="2"/>
          <w:sz w:val="32"/>
          <w:szCs w:val="32"/>
          <w:highlight w:val="none"/>
          <w:lang w:val="en-US" w:eastAsia="zh-CN" w:bidi="ar-SA"/>
        </w:rPr>
        <w:t>5</w:t>
      </w:r>
      <w:r>
        <w:rPr>
          <w:rFonts w:hint="eastAsia" w:ascii="Times New Roman" w:hAnsi="Times New Roman" w:eastAsia="方正仿宋_GBK" w:cs="方正仿宋_GBK"/>
          <w:color w:val="auto"/>
          <w:kern w:val="2"/>
          <w:sz w:val="32"/>
          <w:szCs w:val="32"/>
          <w:highlight w:val="none"/>
          <w:lang w:val="en-US" w:eastAsia="zh-CN" w:bidi="ar-SA"/>
        </w:rPr>
        <w:t>年度一般公共预算财政拨款基本支出</w:t>
      </w:r>
      <w:r>
        <w:rPr>
          <w:rFonts w:hint="eastAsia" w:eastAsia="方正仿宋_GBK" w:cs="方正仿宋_GBK"/>
          <w:sz w:val="32"/>
          <w:szCs w:val="32"/>
          <w:lang w:val="en-US" w:eastAsia="zh-CN"/>
        </w:rPr>
        <w:t>1739.05</w:t>
      </w:r>
      <w:r>
        <w:rPr>
          <w:rFonts w:hint="eastAsia" w:ascii="Times New Roman" w:hAnsi="Times New Roman" w:eastAsia="方正仿宋_GBK" w:cs="方正仿宋_GBK"/>
          <w:color w:val="auto"/>
          <w:kern w:val="2"/>
          <w:sz w:val="32"/>
          <w:szCs w:val="32"/>
          <w:highlight w:val="none"/>
          <w:lang w:val="en-US" w:eastAsia="zh-CN" w:bidi="ar-SA"/>
        </w:rPr>
        <w:t>万元，其中：</w:t>
      </w:r>
    </w:p>
    <w:p w14:paraId="20A8B43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人员经费</w:t>
      </w:r>
      <w:r>
        <w:rPr>
          <w:rFonts w:hint="eastAsia" w:eastAsia="方正仿宋_GBK" w:cs="方正仿宋_GBK"/>
          <w:sz w:val="32"/>
          <w:szCs w:val="32"/>
          <w:lang w:val="en-US" w:eastAsia="zh-CN"/>
        </w:rPr>
        <w:t>1454.59</w:t>
      </w:r>
      <w:r>
        <w:rPr>
          <w:rFonts w:hint="eastAsia" w:ascii="Times New Roman" w:hAnsi="Times New Roman" w:eastAsia="方正仿宋_GBK" w:cs="方正仿宋_GBK"/>
          <w:sz w:val="32"/>
          <w:szCs w:val="32"/>
          <w:lang w:val="en-US" w:eastAsia="zh-CN"/>
        </w:rPr>
        <w:t>万</w:t>
      </w:r>
      <w:r>
        <w:rPr>
          <w:rFonts w:hint="eastAsia" w:ascii="Times New Roman" w:hAnsi="Times New Roman" w:eastAsia="方正仿宋_GBK" w:cs="方正仿宋_GBK"/>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方正仿宋_GBK" w:cs="方正仿宋_GBK"/>
          <w:color w:val="auto"/>
          <w:kern w:val="2"/>
          <w:sz w:val="32"/>
          <w:szCs w:val="32"/>
          <w:highlight w:val="none"/>
          <w:lang w:val="en-US" w:eastAsia="zh-CN" w:bidi="ar-SA"/>
        </w:rPr>
        <w:br w:type="textWrapping"/>
      </w:r>
      <w:r>
        <w:rPr>
          <w:rFonts w:hint="eastAsia" w:ascii="Times New Roman" w:hAnsi="Times New Roman" w:eastAsia="方正仿宋_GBK" w:cs="方正仿宋_GBK"/>
          <w:color w:val="auto"/>
          <w:kern w:val="2"/>
          <w:sz w:val="32"/>
          <w:szCs w:val="32"/>
          <w:highlight w:val="none"/>
          <w:lang w:val="en-US" w:eastAsia="zh-CN" w:bidi="ar-SA"/>
        </w:rPr>
        <w:t>　　公用经费</w:t>
      </w:r>
      <w:r>
        <w:rPr>
          <w:rFonts w:hint="eastAsia" w:eastAsia="方正仿宋_GBK" w:cs="方正仿宋_GBK"/>
          <w:sz w:val="32"/>
          <w:szCs w:val="32"/>
          <w:lang w:val="en-US" w:eastAsia="zh-CN"/>
        </w:rPr>
        <w:t>284.46</w:t>
      </w:r>
      <w:r>
        <w:rPr>
          <w:rFonts w:hint="eastAsia" w:ascii="Times New Roman" w:hAnsi="Times New Roman" w:eastAsia="方正仿宋_GBK" w:cs="方正仿宋_GBK"/>
          <w:color w:val="auto"/>
          <w:kern w:val="2"/>
          <w:sz w:val="32"/>
          <w:szCs w:val="32"/>
          <w:highlight w:val="none"/>
          <w:lang w:val="en-US" w:eastAsia="zh-CN" w:bidi="ar-SA"/>
        </w:rPr>
        <w:t>万元，主要包括：办公费、印刷费、水费、电费、邮电费、物业管理费、差旅费、会议费、培训费、公务接待费、劳务费、委托业务费、工会经费、福利费、公务用车运行维护费、其他交通费、其他商品和服务支出等。</w:t>
      </w:r>
    </w:p>
    <w:p w14:paraId="7563E553">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outlineLvl w:val="9"/>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（注：仅罗列本部门实际支出涉及的经济分类科目）</w:t>
      </w:r>
    </w:p>
    <w:p w14:paraId="54D576E2">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38" w:name="_Toc15377215"/>
      <w:bookmarkStart w:id="39" w:name="_Toc20813"/>
      <w:bookmarkStart w:id="40" w:name="_Toc15396609"/>
      <w:r>
        <w:rPr>
          <w:rFonts w:hint="eastAsia" w:ascii="Times New Roman" w:hAnsi="Times New Roman" w:eastAsia="方正黑体_GBK" w:cs="方正黑体_GBK"/>
          <w:color w:val="auto"/>
          <w:sz w:val="32"/>
          <w:szCs w:val="32"/>
          <w:highlight w:val="none"/>
          <w:lang w:eastAsia="zh-CN"/>
        </w:rPr>
        <w:t>七、财政拨款“三公”经费支出决算情况说明</w:t>
      </w:r>
      <w:bookmarkEnd w:id="38"/>
      <w:bookmarkEnd w:id="39"/>
      <w:bookmarkEnd w:id="40"/>
    </w:p>
    <w:p w14:paraId="4E2FF037">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楷体_GBK" w:cs="方正楷体_GBK"/>
          <w:color w:val="auto"/>
          <w:sz w:val="32"/>
          <w:szCs w:val="32"/>
          <w:highlight w:val="none"/>
          <w:lang w:eastAsia="zh-CN"/>
        </w:rPr>
      </w:pPr>
      <w:bookmarkStart w:id="41" w:name="_Toc15377216"/>
      <w:r>
        <w:rPr>
          <w:rFonts w:hint="eastAsia" w:ascii="Times New Roman" w:hAnsi="Times New Roman" w:eastAsia="方正楷体_GBK" w:cs="方正楷体_GBK"/>
          <w:color w:val="auto"/>
          <w:sz w:val="32"/>
          <w:szCs w:val="32"/>
          <w:highlight w:val="none"/>
          <w:lang w:eastAsia="zh-CN"/>
        </w:rPr>
        <w:t>（一）“三公”经费财政拨款支出决算总体情况说明</w:t>
      </w:r>
      <w:bookmarkEnd w:id="41"/>
    </w:p>
    <w:p w14:paraId="5E0EEFC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9"/>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w:t>
      </w:r>
      <w:r>
        <w:rPr>
          <w:rFonts w:hint="eastAsia" w:eastAsia="方正仿宋_GBK" w:cs="方正仿宋_GBK"/>
          <w:color w:val="auto"/>
          <w:kern w:val="2"/>
          <w:sz w:val="32"/>
          <w:szCs w:val="32"/>
          <w:highlight w:val="none"/>
          <w:lang w:val="en-US" w:eastAsia="zh-CN" w:bidi="ar-SA"/>
        </w:rPr>
        <w:t>5</w:t>
      </w:r>
      <w:r>
        <w:rPr>
          <w:rFonts w:hint="eastAsia" w:ascii="Times New Roman" w:hAnsi="Times New Roman" w:eastAsia="方正仿宋_GBK" w:cs="方正仿宋_GBK"/>
          <w:color w:val="auto"/>
          <w:kern w:val="2"/>
          <w:sz w:val="32"/>
          <w:szCs w:val="32"/>
          <w:highlight w:val="none"/>
          <w:lang w:val="en-US" w:eastAsia="zh-CN" w:bidi="ar-SA"/>
        </w:rPr>
        <w:t>年度“三公”经费财政拨款支出决算为</w:t>
      </w:r>
      <w:r>
        <w:rPr>
          <w:rFonts w:hint="eastAsia" w:ascii="Times New Roman" w:hAnsi="Times New Roman" w:eastAsia="方正仿宋_GBK" w:cs="方正仿宋_GBK"/>
          <w:sz w:val="32"/>
          <w:szCs w:val="32"/>
          <w:lang w:val="en-US" w:eastAsia="zh-CN"/>
        </w:rPr>
        <w:t>29.</w:t>
      </w:r>
      <w:r>
        <w:rPr>
          <w:rFonts w:hint="eastAsia" w:eastAsia="方正仿宋_GBK" w:cs="方正仿宋_GBK"/>
          <w:sz w:val="32"/>
          <w:szCs w:val="32"/>
          <w:lang w:val="en-US" w:eastAsia="zh-CN"/>
        </w:rPr>
        <w:t>19</w:t>
      </w:r>
      <w:r>
        <w:rPr>
          <w:rFonts w:hint="eastAsia" w:ascii="Times New Roman" w:hAnsi="Times New Roman" w:eastAsia="方正仿宋_GBK" w:cs="方正仿宋_GBK"/>
          <w:color w:val="auto"/>
          <w:kern w:val="2"/>
          <w:sz w:val="32"/>
          <w:szCs w:val="32"/>
          <w:highlight w:val="none"/>
          <w:lang w:val="en-US" w:eastAsia="zh-CN" w:bidi="ar-SA"/>
        </w:rPr>
        <w:t>万元，完成预算</w:t>
      </w:r>
      <w:r>
        <w:rPr>
          <w:rFonts w:hint="eastAsia" w:ascii="Times New Roman" w:hAnsi="Times New Roman" w:eastAsia="方正仿宋_GBK" w:cs="方正仿宋_GBK"/>
          <w:sz w:val="32"/>
          <w:szCs w:val="32"/>
          <w:lang w:val="en-US" w:eastAsia="zh-CN"/>
        </w:rPr>
        <w:t>100</w:t>
      </w:r>
      <w:r>
        <w:rPr>
          <w:rFonts w:hint="eastAsia" w:ascii="Times New Roman" w:hAnsi="Times New Roman" w:eastAsia="方正仿宋_GBK" w:cs="方正仿宋_GBK"/>
          <w:color w:val="auto"/>
          <w:kern w:val="2"/>
          <w:sz w:val="32"/>
          <w:szCs w:val="32"/>
          <w:highlight w:val="none"/>
          <w:lang w:val="en-US" w:eastAsia="zh-CN" w:bidi="ar-SA"/>
        </w:rPr>
        <w:t>%，较上年度减少0.</w:t>
      </w:r>
      <w:r>
        <w:rPr>
          <w:rFonts w:hint="eastAsia" w:eastAsia="方正仿宋_GBK" w:cs="方正仿宋_GBK"/>
          <w:color w:val="auto"/>
          <w:kern w:val="2"/>
          <w:sz w:val="32"/>
          <w:szCs w:val="32"/>
          <w:highlight w:val="none"/>
          <w:lang w:val="en-US" w:eastAsia="zh-CN" w:bidi="ar-SA"/>
        </w:rPr>
        <w:t>47</w:t>
      </w:r>
      <w:r>
        <w:rPr>
          <w:rFonts w:hint="eastAsia" w:ascii="Times New Roman" w:hAnsi="Times New Roman" w:eastAsia="方正仿宋_GBK" w:cs="方正仿宋_GBK"/>
          <w:color w:val="auto"/>
          <w:kern w:val="2"/>
          <w:sz w:val="32"/>
          <w:szCs w:val="32"/>
          <w:highlight w:val="none"/>
          <w:lang w:val="en-US" w:eastAsia="zh-CN" w:bidi="ar-SA"/>
        </w:rPr>
        <w:t>万元，下降</w:t>
      </w:r>
      <w:r>
        <w:rPr>
          <w:rFonts w:hint="eastAsia" w:eastAsia="方正仿宋_GBK" w:cs="方正仿宋_GBK"/>
          <w:color w:val="auto"/>
          <w:kern w:val="2"/>
          <w:sz w:val="32"/>
          <w:szCs w:val="32"/>
          <w:highlight w:val="none"/>
          <w:lang w:val="en-US" w:eastAsia="zh-CN" w:bidi="ar-SA"/>
        </w:rPr>
        <w:t>1.58</w:t>
      </w:r>
      <w:r>
        <w:rPr>
          <w:rFonts w:hint="eastAsia" w:ascii="Times New Roman" w:hAnsi="Times New Roman" w:eastAsia="方正仿宋_GBK" w:cs="方正仿宋_GBK"/>
          <w:color w:val="auto"/>
          <w:kern w:val="2"/>
          <w:sz w:val="32"/>
          <w:szCs w:val="32"/>
          <w:highlight w:val="none"/>
          <w:lang w:val="en-US" w:eastAsia="zh-CN" w:bidi="ar-SA"/>
        </w:rPr>
        <w:t>%。决算数与预算数持平的主要原因是坚持厉行节约，严格按预算进行三公经费开支。</w:t>
      </w:r>
    </w:p>
    <w:p w14:paraId="03155E8C">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outlineLvl w:val="9"/>
        <w:rPr>
          <w:rFonts w:hint="eastAsia" w:ascii="Times New Roman" w:hAnsi="Times New Roman" w:eastAsia="方正仿宋_GBK" w:cs="方正仿宋_GBK"/>
          <w:b/>
          <w:bCs/>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（注：上述“预算”口径为全年预算数，包括一般公共预算和政府性基金预算财政拨款支出决算情况）</w:t>
      </w:r>
    </w:p>
    <w:p w14:paraId="44F98829">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楷体_GBK" w:cs="方正楷体_GBK"/>
          <w:color w:val="auto"/>
          <w:sz w:val="32"/>
          <w:szCs w:val="32"/>
          <w:highlight w:val="none"/>
          <w:lang w:eastAsia="zh-CN"/>
        </w:rPr>
      </w:pPr>
      <w:bookmarkStart w:id="42" w:name="_Toc15377217"/>
      <w:r>
        <w:rPr>
          <w:rFonts w:hint="eastAsia" w:ascii="Times New Roman" w:hAnsi="Times New Roman" w:eastAsia="方正楷体_GBK" w:cs="方正楷体_GBK"/>
          <w:color w:val="auto"/>
          <w:sz w:val="32"/>
          <w:szCs w:val="32"/>
          <w:highlight w:val="none"/>
          <w:lang w:eastAsia="zh-CN"/>
        </w:rPr>
        <w:t>（二）“三公”经费财政拨款支出决算具体情况说明</w:t>
      </w:r>
      <w:bookmarkEnd w:id="42"/>
    </w:p>
    <w:p w14:paraId="531E3726">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9"/>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w:t>
      </w:r>
      <w:r>
        <w:rPr>
          <w:rFonts w:hint="eastAsia" w:eastAsia="方正仿宋_GBK" w:cs="方正仿宋_GBK"/>
          <w:color w:val="auto"/>
          <w:kern w:val="2"/>
          <w:sz w:val="32"/>
          <w:szCs w:val="32"/>
          <w:highlight w:val="none"/>
          <w:lang w:val="en-US" w:eastAsia="zh-CN" w:bidi="ar-SA"/>
        </w:rPr>
        <w:t>5</w:t>
      </w:r>
      <w:r>
        <w:rPr>
          <w:rFonts w:hint="eastAsia" w:ascii="Times New Roman" w:hAnsi="Times New Roman" w:eastAsia="方正仿宋_GBK" w:cs="方正仿宋_GBK"/>
          <w:color w:val="auto"/>
          <w:kern w:val="2"/>
          <w:sz w:val="32"/>
          <w:szCs w:val="32"/>
          <w:highlight w:val="none"/>
          <w:lang w:val="en-US" w:eastAsia="zh-CN" w:bidi="ar-SA"/>
        </w:rPr>
        <w:t>年度“三公”经费财政拨款支出决算中，因公出国（境）费支出决算</w:t>
      </w:r>
      <w:r>
        <w:rPr>
          <w:rFonts w:hint="eastAsia" w:ascii="Times New Roman" w:hAnsi="Times New Roman" w:eastAsia="方正仿宋_GBK" w:cs="方正仿宋_GBK"/>
          <w:sz w:val="32"/>
          <w:szCs w:val="32"/>
          <w:lang w:val="en-US" w:eastAsia="zh-CN"/>
        </w:rPr>
        <w:t>0</w:t>
      </w:r>
      <w:r>
        <w:rPr>
          <w:rFonts w:hint="eastAsia" w:ascii="Times New Roman" w:hAnsi="Times New Roman" w:eastAsia="方正仿宋_GBK" w:cs="方正仿宋_GBK"/>
          <w:color w:val="auto"/>
          <w:kern w:val="2"/>
          <w:sz w:val="32"/>
          <w:szCs w:val="32"/>
          <w:highlight w:val="none"/>
          <w:lang w:val="en-US" w:eastAsia="zh-CN" w:bidi="ar-SA"/>
        </w:rPr>
        <w:t>万元，占0%；公务用车购置及运行维护费支出决算</w:t>
      </w:r>
      <w:r>
        <w:rPr>
          <w:rFonts w:hint="eastAsia" w:eastAsia="方正仿宋_GBK" w:cs="方正仿宋_GBK"/>
          <w:sz w:val="32"/>
          <w:szCs w:val="32"/>
          <w:lang w:val="en-US" w:eastAsia="zh-CN"/>
        </w:rPr>
        <w:t>22.53</w:t>
      </w:r>
      <w:r>
        <w:rPr>
          <w:rFonts w:hint="eastAsia" w:ascii="Times New Roman" w:hAnsi="Times New Roman" w:eastAsia="方正仿宋_GBK" w:cs="方正仿宋_GBK"/>
          <w:color w:val="auto"/>
          <w:kern w:val="2"/>
          <w:sz w:val="32"/>
          <w:szCs w:val="32"/>
          <w:highlight w:val="none"/>
          <w:lang w:val="en-US" w:eastAsia="zh-CN" w:bidi="ar-SA"/>
        </w:rPr>
        <w:t>万元，占7</w:t>
      </w:r>
      <w:r>
        <w:rPr>
          <w:rFonts w:hint="eastAsia" w:eastAsia="方正仿宋_GBK" w:cs="方正仿宋_GBK"/>
          <w:color w:val="auto"/>
          <w:kern w:val="2"/>
          <w:sz w:val="32"/>
          <w:szCs w:val="32"/>
          <w:highlight w:val="none"/>
          <w:lang w:val="en-US" w:eastAsia="zh-CN" w:bidi="ar-SA"/>
        </w:rPr>
        <w:t>7.18</w:t>
      </w:r>
      <w:r>
        <w:rPr>
          <w:rFonts w:hint="eastAsia" w:ascii="Times New Roman" w:hAnsi="Times New Roman" w:eastAsia="方正仿宋_GBK" w:cs="方正仿宋_GBK"/>
          <w:color w:val="auto"/>
          <w:kern w:val="2"/>
          <w:sz w:val="32"/>
          <w:szCs w:val="32"/>
          <w:highlight w:val="none"/>
          <w:lang w:val="en-US" w:eastAsia="zh-CN" w:bidi="ar-SA"/>
        </w:rPr>
        <w:t>%；公务接待费支出决算6.6</w:t>
      </w:r>
      <w:r>
        <w:rPr>
          <w:rFonts w:hint="eastAsia" w:eastAsia="方正仿宋_GBK" w:cs="方正仿宋_GBK"/>
          <w:color w:val="auto"/>
          <w:kern w:val="2"/>
          <w:sz w:val="32"/>
          <w:szCs w:val="32"/>
          <w:highlight w:val="none"/>
          <w:lang w:val="en-US" w:eastAsia="zh-CN" w:bidi="ar-SA"/>
        </w:rPr>
        <w:t>6</w:t>
      </w:r>
      <w:r>
        <w:rPr>
          <w:rFonts w:hint="eastAsia" w:ascii="Times New Roman" w:hAnsi="Times New Roman" w:eastAsia="方正仿宋_GBK" w:cs="方正仿宋_GBK"/>
          <w:color w:val="auto"/>
          <w:kern w:val="2"/>
          <w:sz w:val="32"/>
          <w:szCs w:val="32"/>
          <w:highlight w:val="none"/>
          <w:lang w:val="en-US" w:eastAsia="zh-CN" w:bidi="ar-SA"/>
        </w:rPr>
        <w:t>万元，占</w:t>
      </w:r>
      <w:r>
        <w:rPr>
          <w:rFonts w:hint="eastAsia" w:eastAsia="方正仿宋_GBK" w:cs="方正仿宋_GBK"/>
          <w:color w:val="auto"/>
          <w:kern w:val="2"/>
          <w:sz w:val="32"/>
          <w:szCs w:val="32"/>
          <w:highlight w:val="none"/>
          <w:lang w:val="en-US" w:eastAsia="zh-CN" w:bidi="ar-SA"/>
        </w:rPr>
        <w:t>22.82</w:t>
      </w:r>
      <w:r>
        <w:rPr>
          <w:rFonts w:hint="eastAsia" w:ascii="Times New Roman" w:hAnsi="Times New Roman" w:eastAsia="方正仿宋_GBK" w:cs="方正仿宋_GBK"/>
          <w:color w:val="auto"/>
          <w:kern w:val="2"/>
          <w:sz w:val="32"/>
          <w:szCs w:val="32"/>
          <w:highlight w:val="none"/>
          <w:lang w:val="en-US" w:eastAsia="zh-CN" w:bidi="ar-SA"/>
        </w:rPr>
        <w:t>%。具体情况如下：</w:t>
      </w:r>
    </w:p>
    <w:p w14:paraId="5EDC3D84">
      <w:pPr>
        <w:keepNext w:val="0"/>
        <w:pageBreakBefore w:val="0"/>
        <w:widowControl w:val="0"/>
        <w:kinsoku/>
        <w:wordWrap/>
        <w:overflowPunct/>
        <w:topLinePunct w:val="0"/>
        <w:autoSpaceDN/>
        <w:bidi w:val="0"/>
        <w:jc w:val="center"/>
        <w:rPr>
          <w:rFonts w:hint="eastAsia" w:ascii="Times New Roman" w:hAnsi="Times New Roman" w:eastAsia="方正仿宋_GBK" w:cs="仿宋_GB2312"/>
          <w:color w:val="auto"/>
          <w:kern w:val="2"/>
          <w:sz w:val="32"/>
          <w:szCs w:val="32"/>
          <w:highlight w:val="none"/>
          <w:lang w:val="en-US" w:eastAsia="zh-CN" w:bidi="ar-SA"/>
        </w:rPr>
      </w:pPr>
      <w:r>
        <w:rPr>
          <w:rFonts w:ascii="Times New Roman" w:hAnsi="Times New Roman"/>
          <w:sz w:val="32"/>
        </w:rPr>
        <mc:AlternateContent>
          <mc:Choice Requires="wps">
            <w:drawing>
              <wp:anchor distT="0" distB="0" distL="113665" distR="113665" simplePos="0" relativeHeight="251659264" behindDoc="0" locked="0" layoutInCell="1" allowOverlap="1">
                <wp:simplePos x="0" y="0"/>
                <wp:positionH relativeFrom="column">
                  <wp:posOffset>2160270</wp:posOffset>
                </wp:positionH>
                <wp:positionV relativeFrom="paragraph">
                  <wp:posOffset>1102360</wp:posOffset>
                </wp:positionV>
                <wp:extent cx="914400" cy="447675"/>
                <wp:effectExtent l="0" t="0" r="0" b="0"/>
                <wp:wrapNone/>
                <wp:docPr id="10" name="文本框 2"/>
                <wp:cNvGraphicFramePr/>
                <a:graphic xmlns:a="http://schemas.openxmlformats.org/drawingml/2006/main">
                  <a:graphicData uri="http://schemas.microsoft.com/office/word/2010/wordprocessingShape">
                    <wps:wsp>
                      <wps:cNvSpPr/>
                      <wps:spPr>
                        <a:xfrm>
                          <a:off x="0" y="0"/>
                          <a:ext cx="914400" cy="447674"/>
                        </a:xfrm>
                        <a:prstGeom prst="rect">
                          <a:avLst/>
                        </a:prstGeom>
                        <a:noFill/>
                        <a:ln w="6350" cap="flat" cmpd="sng">
                          <a:noFill/>
                          <a:prstDash val="solid"/>
                          <a:round/>
                        </a:ln>
                      </wps:spPr>
                      <wps:txbx>
                        <w:txbxContent>
                          <w:p w14:paraId="400FD924">
                            <w:pPr>
                              <w:rPr>
                                <w:rFonts w:eastAsia="宋体"/>
                                <w:lang w:val="en-US" w:eastAsia="zh-CN"/>
                              </w:rPr>
                            </w:pPr>
                            <w:r>
                              <w:rPr>
                                <w:rFonts w:hint="eastAsia"/>
                                <w:lang w:val="en-US" w:eastAsia="zh-CN"/>
                              </w:rPr>
                              <w:t>21.72%</w:t>
                            </w:r>
                          </w:p>
                        </w:txbxContent>
                      </wps:txbx>
                      <wps:bodyPr vert="horz" wrap="square" lIns="91440" tIns="45720" rIns="91440" bIns="45720" anchor="t" anchorCtr="0" upright="0">
                        <a:noAutofit/>
                      </wps:bodyPr>
                    </wps:wsp>
                  </a:graphicData>
                </a:graphic>
              </wp:anchor>
            </w:drawing>
          </mc:Choice>
          <mc:Fallback>
            <w:pict>
              <v:rect id="文本框 2" o:spid="_x0000_s1026" o:spt="1" style="position:absolute;left:0pt;margin-left:170.1pt;margin-top:86.8pt;height:35.25pt;width:72pt;z-index:251659264;mso-width-relative:page;mso-height-relative:page;" filled="f" stroked="f" coordsize="21600,21600" o:gfxdata="UEsDBAoAAAAAAIdO4kAAAAAAAAAAAAAAAAAEAAAAZHJzL1BLAwQUAAAACACHTuJAcMCgv9sAAAAL&#10;AQAADwAAAGRycy9kb3ducmV2LnhtbE2PsU7DMBCGdyTewTokFkTtpKatQpwOCIQE6kDahc2Jr0kg&#10;tqPYTQpPzzHBePf/+u67fHu2PZtwDJ13CpKFAIau9qZzjYLD/ul2AyxE7YzuvUMFXxhgW1xe5Doz&#10;fnZvOJWxYQRxIdMK2hiHjPNQt2h1WPgBHWVHP1odaRwbbkY9E9z2PBVixa3uHF1o9YAPLdaf5ckq&#10;WH6s58N09/iNN2Vljy/vr8/73ajU9VUi7oFFPMe/MvzqkzoU5FT5kzOB9cSQIqUqBevlChg15EbS&#10;plKQSpkAL3L+/4fiB1BLAwQUAAAACACHTuJA+RujqwoCAAAHBAAADgAAAGRycy9lMm9Eb2MueG1s&#10;rVPNjtMwEL4j8Q6W7zRpyXYharpCVIuQEKy08ACu4zSW/MfYaVIeAN6AE5e981x9DsZOaKvlsgcu&#10;ztgz+Wa+z59XN4NWZC/AS2sqOp/llAjDbS3NrqJfPt++eEWJD8zUTFkjKnoQnt6snz9b9a4UC9ta&#10;VQsgCGJ82buKtiG4Mss8b4VmfmadMJhsLGgWcAu7rAbWI7pW2SLPl1lvoXZgufAeTzdjkk6I8BRA&#10;2zSSi43lnRYmjKggFAtIybfSebpO0zaN4OFT03gRiKooMg1pxSYYb+OarVes3AFzreTTCOwpIzzi&#10;pJk02PQEtWGBkQ7kP1BacrDeNmHGrc5GIkkRZDHPH2lz3zInEheU2ruT6P7/wfKP+zsgskYnoCSG&#10;abzx488fx1+/jw/fySLq0ztfYtm9u4Np5zGMZIcGdPwiDTIkTQ8nTcUQCMfD1/OiyBGaY6oorpfX&#10;RcTMzj878OGdsJrEoKKAV5aUZPsPPoylf0tiL2NvpVJ4zkplSF/R5curCM/Qig1aAEPtkI43uwRz&#10;UR9hNsy3ZM/QDd4qWY/3D7Yz9dhKGRwuMh45xigM2wGTMdza+oBy4evBSVsL3yjp0TsI9rVjIChR&#10;7w1eTuKMZkub4up6gQPCZWZ7mWGGI1RFcfQxfBtGg3YO5K7FTvnE5E0XbCOTKOdppnnRH0nWycvR&#10;gJf7VHV+v+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MCgv9sAAAALAQAADwAAAAAAAAABACAA&#10;AAAiAAAAZHJzL2Rvd25yZXYueG1sUEsBAhQAFAAAAAgAh07iQPkbo6sKAgAABwQAAA4AAAAAAAAA&#10;AQAgAAAAKgEAAGRycy9lMm9Eb2MueG1sUEsFBgAAAAAGAAYAWQEAAKYFAAAAAA==&#10;">
                <v:fill on="f" focussize="0,0"/>
                <v:stroke on="f" weight="0.5pt" joinstyle="round"/>
                <v:imagedata o:title=""/>
                <o:lock v:ext="edit" aspectratio="f"/>
                <v:textbox>
                  <w:txbxContent>
                    <w:p w14:paraId="400FD924">
                      <w:pPr>
                        <w:rPr>
                          <w:rFonts w:eastAsia="宋体"/>
                          <w:lang w:val="en-US" w:eastAsia="zh-CN"/>
                        </w:rPr>
                      </w:pPr>
                      <w:r>
                        <w:rPr>
                          <w:rFonts w:hint="eastAsia"/>
                          <w:lang w:val="en-US" w:eastAsia="zh-CN"/>
                        </w:rPr>
                        <w:t>21.72%</w:t>
                      </w:r>
                    </w:p>
                  </w:txbxContent>
                </v:textbox>
              </v:rect>
            </w:pict>
          </mc:Fallback>
        </mc:AlternateContent>
      </w:r>
      <w:r>
        <w:rPr>
          <w:rFonts w:hint="eastAsia" w:ascii="Times New Roman" w:hAnsi="Times New Roman" w:eastAsia="方正仿宋_GBK" w:cs="仿宋_GB2312"/>
          <w:color w:val="auto"/>
          <w:kern w:val="2"/>
          <w:sz w:val="32"/>
          <w:szCs w:val="32"/>
          <w:highlight w:val="none"/>
          <w:lang w:val="en-US" w:eastAsia="zh-CN" w:bidi="ar-SA"/>
        </w:rPr>
        <w:drawing>
          <wp:inline distT="0" distB="0" distL="114300" distR="114300">
            <wp:extent cx="4201795" cy="2280285"/>
            <wp:effectExtent l="0" t="0" r="0" b="0"/>
            <wp:docPr id="1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ascii="Times New Roman" w:hAnsi="Times New Roman"/>
          <w:sz w:val="32"/>
        </w:rPr>
        <mc:AlternateContent>
          <mc:Choice Requires="wps">
            <w:drawing>
              <wp:anchor distT="0" distB="0" distL="113665" distR="113665" simplePos="0" relativeHeight="251659264" behindDoc="0" locked="0" layoutInCell="1" allowOverlap="1">
                <wp:simplePos x="0" y="0"/>
                <wp:positionH relativeFrom="column">
                  <wp:posOffset>2484755</wp:posOffset>
                </wp:positionH>
                <wp:positionV relativeFrom="paragraph">
                  <wp:posOffset>1750060</wp:posOffset>
                </wp:positionV>
                <wp:extent cx="857250" cy="381000"/>
                <wp:effectExtent l="0" t="0" r="0" b="0"/>
                <wp:wrapNone/>
                <wp:docPr id="14" name="文本框 5"/>
                <wp:cNvGraphicFramePr/>
                <a:graphic xmlns:a="http://schemas.openxmlformats.org/drawingml/2006/main">
                  <a:graphicData uri="http://schemas.microsoft.com/office/word/2010/wordprocessingShape">
                    <wps:wsp>
                      <wps:cNvSpPr/>
                      <wps:spPr>
                        <a:xfrm>
                          <a:off x="0" y="0"/>
                          <a:ext cx="857250" cy="381000"/>
                        </a:xfrm>
                        <a:prstGeom prst="rect">
                          <a:avLst/>
                        </a:prstGeom>
                        <a:noFill/>
                        <a:ln w="6350" cap="flat" cmpd="sng">
                          <a:noFill/>
                          <a:prstDash val="solid"/>
                          <a:round/>
                        </a:ln>
                      </wps:spPr>
                      <wps:txbx>
                        <w:txbxContent>
                          <w:p w14:paraId="5C731EA4">
                            <w:pPr>
                              <w:rPr>
                                <w:rFonts w:eastAsia="宋体"/>
                                <w:lang w:val="en-US" w:eastAsia="zh-CN"/>
                              </w:rPr>
                            </w:pPr>
                            <w:r>
                              <w:rPr>
                                <w:rFonts w:hint="eastAsia"/>
                                <w:lang w:val="en-US" w:eastAsia="zh-CN"/>
                              </w:rPr>
                              <w:t>78.28%</w:t>
                            </w:r>
                          </w:p>
                        </w:txbxContent>
                      </wps:txbx>
                      <wps:bodyPr vert="horz" wrap="square" lIns="91440" tIns="45720" rIns="91440" bIns="45720" anchor="t" anchorCtr="0" upright="0">
                        <a:noAutofit/>
                      </wps:bodyPr>
                    </wps:wsp>
                  </a:graphicData>
                </a:graphic>
              </wp:anchor>
            </w:drawing>
          </mc:Choice>
          <mc:Fallback>
            <w:pict>
              <v:rect id="文本框 5" o:spid="_x0000_s1026" o:spt="1" style="position:absolute;left:0pt;margin-left:195.65pt;margin-top:137.8pt;height:30pt;width:67.5pt;z-index:251659264;mso-width-relative:page;mso-height-relative:page;" filled="f" stroked="f" coordsize="21600,21600" o:gfxdata="UEsDBAoAAAAAAIdO4kAAAAAAAAAAAAAAAAAEAAAAZHJzL1BLAwQUAAAACACHTuJAzfKIPdsAAAAL&#10;AQAADwAAAGRycy9kb3ducmV2LnhtbE2PzU7DMBCE70i8g7VIXBB1fpSUpnF6QCAkEAfSXrg58TYJ&#10;xHZku0nh6VlOcNyZT7Mz5e6sRzaj84M1AuJVBAxNa9VgOgGH/ePtHTAfpFFytAYFfKGHXXV5UcpC&#10;2cW84VyHjlGI8YUU0IcwFZz7tkct/cpOaMg7WqdloNN1XDm5ULgeeRJFOddyMPShlxPe99h+1ict&#10;IP1YL4c5e/jGm7rRx+f3l6f9qxPi+iqOtsACnsMfDL/1qTpU1KmxJ6M8GyljE6eECkjWWQ6MiCzJ&#10;SWnISknhVcn/b6h+AFBLAwQUAAAACACHTuJAOKNV/wwCAAAHBAAADgAAAGRycy9lMm9Eb2MueG1s&#10;rVPNjtMwEL4j8Q6W7zRpt11K1XSFqBYhIVhp4QFcx24s+Y+x06Q8ALwBJy7cea4+B2MndKvlsgcu&#10;6Uxm+s1833xZ3/RGk4OAoJyt6HRSUiIsd7Wy+4p+/nT7YklJiMzWTDsrKnoUgd5snj9bd34lZq5x&#10;uhZAEMSGVecr2sToV0UReCMMCxPnhcWidGBYxBT2RQ2sQ3Sji1lZXhedg9qD4yIEfLsdinREhKcA&#10;OikVF1vHWyNsHFBBaBaRUmiUD3STt5VS8PhRyiAi0RVFpjE/cQjGu/QsNmu22gPzjeLjCuwpKzzi&#10;ZJiyOPQMtWWRkRbUP1BGcXDByTjhzhQDkawIspiWj7S5b5gXmQtKHfxZ9PD/YPmHwx0QVaMT5pRY&#10;ZvDipx/fTz9/n359I4ukT+fDCtvu/R2MWcAwke0lmPSLNEifNT2eNRV9JBxfLhcvZwtUm2Ppajkt&#10;y6x58fBnDyG+Fc6QFFQU8GRZSXZ4HyIOxNa/LWmWdbdK63w2bUlX0eurDM/QihItgJOMRzrB7jPM&#10;RX+C2bLQkANDNwSnVT3cH1xr62GUtjgxMR44pij2u34kvnP1EeXCrwc3bRx8paRD7yDYl5aBoES/&#10;s3icV9P5PJktJ3MUABO4rOwuK8xyhKoorj6Eb+Jg0NaD2jc4qRyZvG6jkyqLkhYbthn3RX9krUYv&#10;JwNe5rnr4fvd/A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N8og92wAAAAsBAAAPAAAAAAAAAAEA&#10;IAAAACIAAABkcnMvZG93bnJldi54bWxQSwECFAAUAAAACACHTuJAOKNV/wwCAAAHBAAADgAAAAAA&#10;AAABACAAAAAqAQAAZHJzL2Uyb0RvYy54bWxQSwUGAAAAAAYABgBZAQAAqAUAAAAA&#10;">
                <v:fill on="f" focussize="0,0"/>
                <v:stroke on="f" weight="0.5pt" joinstyle="round"/>
                <v:imagedata o:title=""/>
                <o:lock v:ext="edit" aspectratio="f"/>
                <v:textbox>
                  <w:txbxContent>
                    <w:p w14:paraId="5C731EA4">
                      <w:pPr>
                        <w:rPr>
                          <w:rFonts w:eastAsia="宋体"/>
                          <w:lang w:val="en-US" w:eastAsia="zh-CN"/>
                        </w:rPr>
                      </w:pPr>
                      <w:r>
                        <w:rPr>
                          <w:rFonts w:hint="eastAsia"/>
                          <w:lang w:val="en-US" w:eastAsia="zh-CN"/>
                        </w:rPr>
                        <w:t>78.28%</w:t>
                      </w:r>
                    </w:p>
                  </w:txbxContent>
                </v:textbox>
              </v:rect>
            </w:pict>
          </mc:Fallback>
        </mc:AlternateContent>
      </w:r>
    </w:p>
    <w:p w14:paraId="38173AC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Times New Roman" w:hAnsi="Times New Roman" w:eastAsia="方正仿宋_GBK" w:cs="仿宋_GB2312"/>
          <w:color w:val="auto"/>
          <w:sz w:val="28"/>
          <w:szCs w:val="28"/>
          <w:highlight w:val="none"/>
          <w:lang w:val="en-US" w:eastAsia="zh-CN"/>
        </w:rPr>
      </w:pPr>
      <w:r>
        <w:rPr>
          <w:rFonts w:hint="eastAsia" w:ascii="Times New Roman" w:hAnsi="Times New Roman" w:eastAsia="方正仿宋_GBK" w:cs="仿宋_GB2312"/>
          <w:color w:val="auto"/>
          <w:sz w:val="28"/>
          <w:szCs w:val="28"/>
          <w:highlight w:val="none"/>
          <w:lang w:val="en-US" w:eastAsia="zh-CN"/>
        </w:rPr>
        <w:t>（图7：“三公”经费财政拨款支出结构）（饼状图）</w:t>
      </w:r>
    </w:p>
    <w:p w14:paraId="07FE5930">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b w:val="0"/>
          <w:bCs w:val="0"/>
          <w:color w:val="auto"/>
          <w:kern w:val="2"/>
          <w:sz w:val="32"/>
          <w:szCs w:val="32"/>
          <w:highlight w:val="none"/>
          <w:lang w:val="en-US" w:eastAsia="zh-CN" w:bidi="ar-SA"/>
        </w:rPr>
        <w:t>1.因公出国（境）经费支出0万元，完成预算100%。全</w:t>
      </w:r>
      <w:r>
        <w:rPr>
          <w:rFonts w:hint="eastAsia" w:ascii="Times New Roman" w:hAnsi="Times New Roman" w:eastAsia="方正仿宋_GBK" w:cs="仿宋_GB2312"/>
          <w:color w:val="auto"/>
          <w:kern w:val="2"/>
          <w:sz w:val="32"/>
          <w:szCs w:val="32"/>
          <w:highlight w:val="none"/>
          <w:lang w:val="en-US" w:eastAsia="zh-CN" w:bidi="ar-SA"/>
        </w:rPr>
        <w:t>年安排因公出国（境）团组</w:t>
      </w:r>
      <w:r>
        <w:rPr>
          <w:rFonts w:hint="eastAsia" w:ascii="Times New Roman" w:hAnsi="Times New Roman" w:eastAsia="方正仿宋_GBK" w:cs="仿宋_GB2312"/>
          <w:sz w:val="32"/>
          <w:szCs w:val="32"/>
          <w:lang w:val="en-US" w:eastAsia="zh-CN"/>
        </w:rPr>
        <w:t>0</w:t>
      </w:r>
      <w:r>
        <w:rPr>
          <w:rFonts w:hint="eastAsia" w:ascii="Times New Roman" w:hAnsi="Times New Roman" w:eastAsia="方正仿宋_GBK" w:cs="仿宋_GB2312"/>
          <w:color w:val="auto"/>
          <w:kern w:val="2"/>
          <w:sz w:val="32"/>
          <w:szCs w:val="32"/>
          <w:highlight w:val="none"/>
          <w:lang w:val="en-US" w:eastAsia="zh-CN" w:bidi="ar-SA"/>
        </w:rPr>
        <w:t>次，出国（境）</w:t>
      </w:r>
      <w:r>
        <w:rPr>
          <w:rFonts w:hint="eastAsia" w:ascii="Times New Roman" w:hAnsi="Times New Roman" w:eastAsia="方正仿宋_GBK" w:cs="仿宋_GB2312"/>
          <w:sz w:val="32"/>
          <w:szCs w:val="32"/>
          <w:lang w:val="en-US" w:eastAsia="zh-CN"/>
        </w:rPr>
        <w:t>0</w:t>
      </w:r>
      <w:r>
        <w:rPr>
          <w:rFonts w:hint="eastAsia" w:ascii="Times New Roman" w:hAnsi="Times New Roman" w:eastAsia="方正仿宋_GBK" w:cs="仿宋_GB2312"/>
          <w:color w:val="auto"/>
          <w:kern w:val="2"/>
          <w:sz w:val="32"/>
          <w:szCs w:val="32"/>
          <w:highlight w:val="none"/>
          <w:lang w:val="en-US" w:eastAsia="zh-CN" w:bidi="ar-SA"/>
        </w:rPr>
        <w:t>人。因公出国（境）支出决算与</w:t>
      </w:r>
      <w:r>
        <w:rPr>
          <w:rFonts w:hint="eastAsia" w:eastAsia="方正仿宋_GBK" w:cs="仿宋_GB2312"/>
          <w:color w:val="auto"/>
          <w:kern w:val="2"/>
          <w:sz w:val="32"/>
          <w:szCs w:val="32"/>
          <w:highlight w:val="none"/>
          <w:lang w:val="en-US" w:eastAsia="zh-CN" w:bidi="ar-SA"/>
        </w:rPr>
        <w:t>上</w:t>
      </w:r>
      <w:r>
        <w:rPr>
          <w:rFonts w:hint="eastAsia" w:ascii="Times New Roman" w:hAnsi="Times New Roman" w:eastAsia="方正仿宋_GBK" w:cs="仿宋_GB2312"/>
          <w:color w:val="auto"/>
          <w:kern w:val="2"/>
          <w:sz w:val="32"/>
          <w:szCs w:val="32"/>
          <w:highlight w:val="none"/>
          <w:lang w:val="en-US" w:eastAsia="zh-CN" w:bidi="ar-SA"/>
        </w:rPr>
        <w:t>年</w:t>
      </w:r>
      <w:r>
        <w:rPr>
          <w:rFonts w:hint="eastAsia" w:eastAsia="方正仿宋_GBK" w:cs="仿宋_GB2312"/>
          <w:color w:val="auto"/>
          <w:kern w:val="2"/>
          <w:sz w:val="32"/>
          <w:szCs w:val="32"/>
          <w:highlight w:val="none"/>
          <w:lang w:val="en-US" w:eastAsia="zh-CN" w:bidi="ar-SA"/>
        </w:rPr>
        <w:t>度</w:t>
      </w:r>
      <w:r>
        <w:rPr>
          <w:rFonts w:hint="eastAsia" w:ascii="Times New Roman" w:hAnsi="Times New Roman" w:eastAsia="方正仿宋_GBK" w:cs="仿宋_GB2312"/>
          <w:color w:val="auto"/>
          <w:kern w:val="2"/>
          <w:sz w:val="32"/>
          <w:szCs w:val="32"/>
          <w:highlight w:val="none"/>
          <w:lang w:val="en-US" w:eastAsia="zh-CN" w:bidi="ar-SA"/>
        </w:rPr>
        <w:t>持平。</w:t>
      </w:r>
    </w:p>
    <w:p w14:paraId="1468786D">
      <w:pPr>
        <w:keepNext w:val="0"/>
        <w:keepLines w:val="0"/>
        <w:pageBreakBefore w:val="0"/>
        <w:widowControl w:val="0"/>
        <w:suppressLineNumbers w:val="0"/>
        <w:kinsoku/>
        <w:wordWrap/>
        <w:overflowPunct/>
        <w:topLinePunct w:val="0"/>
        <w:autoSpaceDN/>
        <w:bidi w:val="0"/>
        <w:spacing w:before="0" w:beforeAutospacing="0" w:after="0" w:afterAutospacing="0" w:line="600" w:lineRule="exact"/>
        <w:ind w:left="0" w:right="0" w:firstLine="640"/>
        <w:jc w:val="both"/>
        <w:rPr>
          <w:rFonts w:ascii="Times New Roman" w:hAnsi="Times New Roman" w:eastAsia="方正仿宋_GBK" w:cs="仿宋_GB2312"/>
          <w:kern w:val="2"/>
          <w:sz w:val="32"/>
          <w:szCs w:val="32"/>
        </w:rPr>
      </w:pPr>
      <w:r>
        <w:rPr>
          <w:rFonts w:hint="eastAsia" w:ascii="Times New Roman" w:hAnsi="Times New Roman" w:eastAsia="方正仿宋_GBK" w:cs="仿宋_GB2312"/>
          <w:b w:val="0"/>
          <w:bCs w:val="0"/>
          <w:color w:val="auto"/>
          <w:kern w:val="2"/>
          <w:sz w:val="32"/>
          <w:szCs w:val="32"/>
          <w:highlight w:val="none"/>
          <w:lang w:val="en-US" w:eastAsia="zh-CN" w:bidi="ar-SA"/>
        </w:rPr>
        <w:t>2.公务用车购置及运行维护费支出</w:t>
      </w:r>
      <w:r>
        <w:rPr>
          <w:rFonts w:hint="eastAsia" w:eastAsia="方正仿宋_GBK" w:cs="仿宋_GB2312"/>
          <w:b w:val="0"/>
          <w:bCs w:val="0"/>
          <w:color w:val="auto"/>
          <w:kern w:val="2"/>
          <w:sz w:val="32"/>
          <w:szCs w:val="32"/>
          <w:highlight w:val="none"/>
          <w:lang w:val="en-US" w:eastAsia="zh-CN" w:bidi="ar-SA"/>
        </w:rPr>
        <w:t>22.53</w:t>
      </w:r>
      <w:r>
        <w:rPr>
          <w:rFonts w:hint="eastAsia" w:ascii="Times New Roman" w:hAnsi="Times New Roman" w:eastAsia="方正仿宋_GBK" w:cs="仿宋_GB2312"/>
          <w:b w:val="0"/>
          <w:bCs w:val="0"/>
          <w:color w:val="auto"/>
          <w:kern w:val="2"/>
          <w:sz w:val="32"/>
          <w:szCs w:val="32"/>
          <w:highlight w:val="none"/>
          <w:lang w:val="en-US" w:eastAsia="zh-CN" w:bidi="ar-SA"/>
        </w:rPr>
        <w:t>万元，完成预算100%</w:t>
      </w:r>
      <w:r>
        <w:rPr>
          <w:rFonts w:hint="eastAsia" w:ascii="Times New Roman" w:hAnsi="Times New Roman" w:eastAsia="方正仿宋_GBK" w:cs="仿宋_GB2312"/>
          <w:b/>
          <w:bCs/>
          <w:color w:val="auto"/>
          <w:kern w:val="2"/>
          <w:sz w:val="32"/>
          <w:szCs w:val="32"/>
          <w:highlight w:val="none"/>
          <w:lang w:val="en-US" w:eastAsia="zh-CN" w:bidi="ar-SA"/>
        </w:rPr>
        <w:t>。</w:t>
      </w:r>
      <w:r>
        <w:rPr>
          <w:rFonts w:hint="eastAsia" w:ascii="Times New Roman" w:hAnsi="Times New Roman" w:eastAsia="方正仿宋_GBK" w:cs="仿宋_GB2312"/>
          <w:color w:val="auto"/>
          <w:kern w:val="2"/>
          <w:sz w:val="32"/>
          <w:szCs w:val="32"/>
          <w:highlight w:val="none"/>
          <w:lang w:val="en-US" w:eastAsia="zh-CN" w:bidi="ar-SA"/>
        </w:rPr>
        <w:t>公务用车购置及运行维护费支出决算比</w:t>
      </w:r>
      <w:r>
        <w:rPr>
          <w:rFonts w:hint="eastAsia" w:eastAsia="方正仿宋_GBK" w:cs="仿宋_GB2312"/>
          <w:color w:val="auto"/>
          <w:kern w:val="2"/>
          <w:sz w:val="32"/>
          <w:szCs w:val="32"/>
          <w:highlight w:val="none"/>
          <w:lang w:val="en-US" w:eastAsia="zh-CN" w:bidi="ar-SA"/>
        </w:rPr>
        <w:t>上</w:t>
      </w:r>
      <w:r>
        <w:rPr>
          <w:rFonts w:hint="eastAsia" w:ascii="Times New Roman" w:hAnsi="Times New Roman" w:eastAsia="方正仿宋_GBK" w:cs="仿宋_GB2312"/>
          <w:color w:val="auto"/>
          <w:kern w:val="2"/>
          <w:sz w:val="32"/>
          <w:szCs w:val="32"/>
          <w:highlight w:val="none"/>
          <w:lang w:val="en-US" w:eastAsia="zh-CN" w:bidi="ar-SA"/>
        </w:rPr>
        <w:t>年度减少0.</w:t>
      </w:r>
      <w:r>
        <w:rPr>
          <w:rFonts w:hint="eastAsia" w:eastAsia="方正仿宋_GBK" w:cs="仿宋_GB2312"/>
          <w:color w:val="auto"/>
          <w:kern w:val="2"/>
          <w:sz w:val="32"/>
          <w:szCs w:val="32"/>
          <w:highlight w:val="none"/>
          <w:lang w:val="en-US" w:eastAsia="zh-CN" w:bidi="ar-SA"/>
        </w:rPr>
        <w:t>53</w:t>
      </w:r>
      <w:r>
        <w:rPr>
          <w:rFonts w:hint="eastAsia" w:ascii="Times New Roman" w:hAnsi="Times New Roman" w:eastAsia="方正仿宋_GBK" w:cs="仿宋_GB2312"/>
          <w:color w:val="auto"/>
          <w:kern w:val="2"/>
          <w:sz w:val="32"/>
          <w:szCs w:val="32"/>
          <w:highlight w:val="none"/>
          <w:lang w:val="en-US" w:eastAsia="zh-CN" w:bidi="ar-SA"/>
        </w:rPr>
        <w:t>万元，下降</w:t>
      </w:r>
      <w:r>
        <w:rPr>
          <w:rFonts w:hint="eastAsia" w:eastAsia="方正仿宋_GBK" w:cs="仿宋_GB2312"/>
          <w:color w:val="auto"/>
          <w:kern w:val="2"/>
          <w:sz w:val="32"/>
          <w:szCs w:val="32"/>
          <w:highlight w:val="none"/>
          <w:lang w:val="en-US" w:eastAsia="zh-CN" w:bidi="ar-SA"/>
        </w:rPr>
        <w:t>2.3</w:t>
      </w:r>
      <w:r>
        <w:rPr>
          <w:rFonts w:hint="eastAsia" w:ascii="Times New Roman" w:hAnsi="Times New Roman" w:eastAsia="方正仿宋_GBK" w:cs="仿宋_GB2312"/>
          <w:color w:val="auto"/>
          <w:kern w:val="2"/>
          <w:sz w:val="32"/>
          <w:szCs w:val="32"/>
          <w:highlight w:val="none"/>
          <w:lang w:val="en-US" w:eastAsia="zh-CN" w:bidi="ar-SA"/>
        </w:rPr>
        <w:t>%。主要原因是</w:t>
      </w:r>
      <w:r>
        <w:rPr>
          <w:rFonts w:ascii="Times New Roman" w:hAnsi="Times New Roman" w:eastAsia="方正仿宋_GBK" w:cs="仿宋_GB2312"/>
          <w:kern w:val="2"/>
          <w:sz w:val="32"/>
          <w:szCs w:val="32"/>
          <w:lang w:val="en-US" w:eastAsia="zh-CN"/>
        </w:rPr>
        <w:t>坚持厉行节约，严格按预算进行三公经费开支。</w:t>
      </w:r>
    </w:p>
    <w:p w14:paraId="2F2CAB39">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其中：公务用车购置支出</w:t>
      </w:r>
      <w:r>
        <w:rPr>
          <w:rFonts w:hint="eastAsia" w:ascii="Times New Roman" w:hAnsi="Times New Roman" w:eastAsia="方正仿宋_GBK" w:cs="仿宋_GB2312"/>
          <w:sz w:val="32"/>
          <w:szCs w:val="32"/>
          <w:lang w:val="en-US" w:eastAsia="zh-CN"/>
        </w:rPr>
        <w:t>0</w:t>
      </w:r>
      <w:r>
        <w:rPr>
          <w:rFonts w:hint="eastAsia" w:ascii="Times New Roman" w:hAnsi="Times New Roman" w:eastAsia="方正仿宋_GBK" w:cs="仿宋_GB2312"/>
          <w:color w:val="auto"/>
          <w:kern w:val="2"/>
          <w:sz w:val="32"/>
          <w:szCs w:val="32"/>
          <w:highlight w:val="none"/>
          <w:lang w:val="en-US" w:eastAsia="zh-CN" w:bidi="ar-SA"/>
        </w:rPr>
        <w:t>万元。全年按规定更新购置公务用车0辆。截至202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年12月31日，单位共有公务用车</w:t>
      </w:r>
      <w:r>
        <w:rPr>
          <w:rFonts w:hint="eastAsia" w:eastAsia="方正仿宋_GBK" w:cs="仿宋_GB2312"/>
          <w:color w:val="auto"/>
          <w:kern w:val="2"/>
          <w:sz w:val="32"/>
          <w:szCs w:val="32"/>
          <w:highlight w:val="none"/>
          <w:lang w:val="en-US" w:eastAsia="zh-CN" w:bidi="ar-SA"/>
        </w:rPr>
        <w:t>3</w:t>
      </w:r>
      <w:r>
        <w:rPr>
          <w:rFonts w:hint="eastAsia" w:ascii="Times New Roman" w:hAnsi="Times New Roman" w:eastAsia="方正仿宋_GBK" w:cs="仿宋_GB2312"/>
          <w:color w:val="auto"/>
          <w:kern w:val="2"/>
          <w:sz w:val="32"/>
          <w:szCs w:val="32"/>
          <w:highlight w:val="none"/>
          <w:lang w:val="en-US" w:eastAsia="zh-CN" w:bidi="ar-SA"/>
        </w:rPr>
        <w:t>辆，其中：轿车1辆、越野车</w:t>
      </w:r>
      <w:r>
        <w:rPr>
          <w:rFonts w:hint="eastAsia" w:eastAsia="方正仿宋_GBK" w:cs="仿宋_GB2312"/>
          <w:color w:val="auto"/>
          <w:kern w:val="2"/>
          <w:sz w:val="32"/>
          <w:szCs w:val="32"/>
          <w:highlight w:val="none"/>
          <w:lang w:val="en-US" w:eastAsia="zh-CN" w:bidi="ar-SA"/>
        </w:rPr>
        <w:t>2</w:t>
      </w:r>
      <w:r>
        <w:rPr>
          <w:rFonts w:hint="eastAsia" w:ascii="Times New Roman" w:hAnsi="Times New Roman" w:eastAsia="方正仿宋_GBK" w:cs="仿宋_GB2312"/>
          <w:color w:val="auto"/>
          <w:kern w:val="2"/>
          <w:sz w:val="32"/>
          <w:szCs w:val="32"/>
          <w:highlight w:val="none"/>
          <w:lang w:val="en-US" w:eastAsia="zh-CN" w:bidi="ar-SA"/>
        </w:rPr>
        <w:t>辆、载客汽车0辆。</w:t>
      </w:r>
    </w:p>
    <w:p w14:paraId="0DD53300">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公务用车运行维护费支出</w:t>
      </w:r>
      <w:r>
        <w:rPr>
          <w:rFonts w:hint="eastAsia" w:eastAsia="方正仿宋_GBK" w:cs="仿宋_GB2312"/>
          <w:sz w:val="32"/>
          <w:szCs w:val="32"/>
          <w:lang w:val="en-US" w:eastAsia="zh-CN"/>
        </w:rPr>
        <w:t>22.53</w:t>
      </w:r>
      <w:r>
        <w:rPr>
          <w:rFonts w:hint="eastAsia" w:ascii="Times New Roman" w:hAnsi="Times New Roman" w:eastAsia="方正仿宋_GBK" w:cs="仿宋_GB2312"/>
          <w:color w:val="auto"/>
          <w:kern w:val="2"/>
          <w:sz w:val="32"/>
          <w:szCs w:val="32"/>
          <w:highlight w:val="none"/>
          <w:lang w:val="en-US" w:eastAsia="zh-CN" w:bidi="ar-SA"/>
        </w:rPr>
        <w:t>万元。主要用于日常工作所需的公务用车燃料费、维修费、过路过桥费、保险费等支出。</w:t>
      </w:r>
    </w:p>
    <w:p w14:paraId="12C7BD9C">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yellow"/>
          <w:lang w:val="en-US" w:eastAsia="zh-CN" w:bidi="ar-SA"/>
        </w:rPr>
      </w:pPr>
      <w:r>
        <w:rPr>
          <w:rFonts w:hint="eastAsia" w:ascii="Times New Roman" w:hAnsi="Times New Roman" w:eastAsia="方正仿宋_GBK" w:cs="仿宋_GB2312"/>
          <w:b w:val="0"/>
          <w:bCs w:val="0"/>
          <w:color w:val="auto"/>
          <w:kern w:val="2"/>
          <w:sz w:val="32"/>
          <w:szCs w:val="32"/>
          <w:highlight w:val="none"/>
          <w:lang w:val="en-US" w:eastAsia="zh-CN" w:bidi="ar-SA"/>
        </w:rPr>
        <w:t>3.公务接待费支出6.6</w:t>
      </w:r>
      <w:r>
        <w:rPr>
          <w:rFonts w:hint="eastAsia" w:eastAsia="方正仿宋_GBK" w:cs="仿宋_GB2312"/>
          <w:b w:val="0"/>
          <w:bCs w:val="0"/>
          <w:color w:val="auto"/>
          <w:kern w:val="2"/>
          <w:sz w:val="32"/>
          <w:szCs w:val="32"/>
          <w:highlight w:val="none"/>
          <w:lang w:val="en-US" w:eastAsia="zh-CN" w:bidi="ar-SA"/>
        </w:rPr>
        <w:t>6</w:t>
      </w:r>
      <w:r>
        <w:rPr>
          <w:rFonts w:hint="eastAsia" w:ascii="Times New Roman" w:hAnsi="Times New Roman" w:eastAsia="方正仿宋_GBK" w:cs="仿宋_GB2312"/>
          <w:b w:val="0"/>
          <w:bCs w:val="0"/>
          <w:color w:val="auto"/>
          <w:kern w:val="2"/>
          <w:sz w:val="32"/>
          <w:szCs w:val="32"/>
          <w:highlight w:val="none"/>
          <w:lang w:val="en-US" w:eastAsia="zh-CN" w:bidi="ar-SA"/>
        </w:rPr>
        <w:t>万元，完成预算100%。</w:t>
      </w:r>
      <w:r>
        <w:rPr>
          <w:rFonts w:hint="eastAsia" w:ascii="Times New Roman" w:hAnsi="Times New Roman" w:eastAsia="方正仿宋_GBK" w:cs="仿宋_GB2312"/>
          <w:color w:val="auto"/>
          <w:kern w:val="2"/>
          <w:sz w:val="32"/>
          <w:szCs w:val="32"/>
          <w:highlight w:val="none"/>
          <w:lang w:val="en-US" w:eastAsia="zh-CN" w:bidi="ar-SA"/>
        </w:rPr>
        <w:t>公务接待费支出决算</w:t>
      </w:r>
      <w:r>
        <w:rPr>
          <w:rFonts w:hint="eastAsia" w:eastAsia="方正仿宋_GBK" w:cs="仿宋_GB2312"/>
          <w:color w:val="auto"/>
          <w:kern w:val="2"/>
          <w:sz w:val="32"/>
          <w:szCs w:val="32"/>
          <w:highlight w:val="none"/>
          <w:lang w:val="en-US" w:eastAsia="zh-CN" w:bidi="ar-SA"/>
        </w:rPr>
        <w:t>与上年度持平</w:t>
      </w:r>
      <w:r>
        <w:rPr>
          <w:rFonts w:hint="eastAsia" w:ascii="Times New Roman" w:hAnsi="Times New Roman" w:eastAsia="方正仿宋_GBK" w:cs="仿宋_GB2312"/>
          <w:color w:val="auto"/>
          <w:kern w:val="2"/>
          <w:sz w:val="32"/>
          <w:szCs w:val="32"/>
          <w:highlight w:val="none"/>
          <w:lang w:val="en-US" w:eastAsia="zh-CN" w:bidi="ar-SA"/>
        </w:rPr>
        <w:t>。</w:t>
      </w:r>
      <w:r>
        <w:rPr>
          <w:rFonts w:ascii="Times New Roman" w:hAnsi="Times New Roman" w:eastAsia="方正仿宋_GBK" w:cs="仿宋_GB2312"/>
          <w:kern w:val="2"/>
          <w:sz w:val="32"/>
          <w:szCs w:val="32"/>
          <w:lang w:val="en-US" w:eastAsia="zh-CN"/>
        </w:rPr>
        <w:t>主要原因是坚持厉行节约，严格按预算进行三公经费开支</w:t>
      </w:r>
      <w:r>
        <w:rPr>
          <w:rFonts w:hint="eastAsia" w:ascii="Times New Roman" w:hAnsi="Times New Roman" w:eastAsia="方正仿宋_GBK" w:cs="仿宋_GB2312"/>
          <w:kern w:val="2"/>
          <w:sz w:val="32"/>
          <w:szCs w:val="32"/>
          <w:lang w:val="en-US" w:eastAsia="zh-CN"/>
        </w:rPr>
        <w:t>。</w:t>
      </w:r>
      <w:r>
        <w:rPr>
          <w:rFonts w:hint="eastAsia" w:ascii="Times New Roman" w:hAnsi="Times New Roman" w:eastAsia="方正仿宋_GBK" w:cs="仿宋_GB2312"/>
          <w:color w:val="auto"/>
          <w:kern w:val="2"/>
          <w:sz w:val="32"/>
          <w:szCs w:val="32"/>
          <w:highlight w:val="none"/>
          <w:lang w:val="en-US" w:eastAsia="zh-CN" w:bidi="ar-SA"/>
        </w:rPr>
        <w:t>其中：国内公务接待支出</w:t>
      </w:r>
      <w:r>
        <w:rPr>
          <w:rFonts w:hint="eastAsia" w:ascii="Times New Roman" w:hAnsi="Times New Roman" w:eastAsia="方正仿宋_GBK" w:cs="仿宋_GB2312"/>
          <w:sz w:val="32"/>
          <w:szCs w:val="32"/>
          <w:lang w:val="en-US" w:eastAsia="zh-CN"/>
        </w:rPr>
        <w:t>6.</w:t>
      </w:r>
      <w:r>
        <w:rPr>
          <w:rFonts w:hint="eastAsia" w:eastAsia="方正仿宋_GBK" w:cs="仿宋_GB2312"/>
          <w:sz w:val="32"/>
          <w:szCs w:val="32"/>
          <w:lang w:val="en-US" w:eastAsia="zh-CN"/>
        </w:rPr>
        <w:t>66</w:t>
      </w:r>
      <w:r>
        <w:rPr>
          <w:rFonts w:hint="eastAsia" w:ascii="Times New Roman" w:hAnsi="Times New Roman" w:eastAsia="方正仿宋_GBK" w:cs="仿宋_GB2312"/>
          <w:color w:val="auto"/>
          <w:kern w:val="2"/>
          <w:sz w:val="32"/>
          <w:szCs w:val="32"/>
          <w:highlight w:val="none"/>
          <w:lang w:val="en-US" w:eastAsia="zh-CN" w:bidi="ar-SA"/>
        </w:rPr>
        <w:t>万元，主要用于执行公务</w:t>
      </w:r>
      <w:r>
        <w:rPr>
          <w:rFonts w:hint="eastAsia" w:eastAsia="方正仿宋_GBK" w:cs="仿宋_GB2312"/>
          <w:color w:val="auto"/>
          <w:kern w:val="2"/>
          <w:sz w:val="32"/>
          <w:szCs w:val="32"/>
          <w:highlight w:val="none"/>
          <w:lang w:val="en-US" w:eastAsia="zh-CN" w:bidi="ar-SA"/>
        </w:rPr>
        <w:t>、开展业务活动开支的工作</w:t>
      </w:r>
      <w:r>
        <w:rPr>
          <w:rFonts w:hint="eastAsia" w:ascii="Times New Roman" w:hAnsi="Times New Roman" w:eastAsia="方正仿宋_GBK" w:cs="仿宋_GB2312"/>
          <w:color w:val="auto"/>
          <w:kern w:val="2"/>
          <w:sz w:val="32"/>
          <w:szCs w:val="32"/>
          <w:highlight w:val="none"/>
          <w:lang w:val="en-US" w:eastAsia="zh-CN" w:bidi="ar-SA"/>
        </w:rPr>
        <w:t>用餐费等。国内公务接待</w:t>
      </w:r>
      <w:r>
        <w:rPr>
          <w:rFonts w:hint="eastAsia" w:eastAsia="方正仿宋_GBK" w:cs="仿宋_GB2312"/>
          <w:color w:val="auto"/>
          <w:kern w:val="2"/>
          <w:sz w:val="32"/>
          <w:szCs w:val="32"/>
          <w:highlight w:val="none"/>
          <w:lang w:val="en-US" w:eastAsia="zh-CN" w:bidi="ar-SA"/>
        </w:rPr>
        <w:t>45</w:t>
      </w:r>
      <w:r>
        <w:rPr>
          <w:rFonts w:hint="eastAsia" w:ascii="Times New Roman" w:hAnsi="Times New Roman" w:eastAsia="方正仿宋_GBK" w:cs="仿宋_GB2312"/>
          <w:color w:val="auto"/>
          <w:kern w:val="2"/>
          <w:sz w:val="32"/>
          <w:szCs w:val="32"/>
          <w:highlight w:val="none"/>
          <w:lang w:val="en-US" w:eastAsia="zh-CN" w:bidi="ar-SA"/>
        </w:rPr>
        <w:t>批次，</w:t>
      </w:r>
      <w:r>
        <w:rPr>
          <w:rFonts w:hint="eastAsia" w:eastAsia="方正仿宋_GBK" w:cs="仿宋_GB2312"/>
          <w:sz w:val="32"/>
          <w:szCs w:val="32"/>
          <w:lang w:val="en-US" w:eastAsia="zh-CN"/>
        </w:rPr>
        <w:t>351</w:t>
      </w:r>
      <w:r>
        <w:rPr>
          <w:rFonts w:hint="eastAsia" w:ascii="Times New Roman" w:hAnsi="Times New Roman" w:eastAsia="方正仿宋_GBK" w:cs="仿宋_GB2312"/>
          <w:color w:val="auto"/>
          <w:kern w:val="2"/>
          <w:sz w:val="32"/>
          <w:szCs w:val="32"/>
          <w:highlight w:val="none"/>
          <w:lang w:val="en-US" w:eastAsia="zh-CN" w:bidi="ar-SA"/>
        </w:rPr>
        <w:t>人次（不包括陪同人员），共计支出6.6</w:t>
      </w:r>
      <w:r>
        <w:rPr>
          <w:rFonts w:hint="eastAsia" w:eastAsia="方正仿宋_GBK" w:cs="仿宋_GB2312"/>
          <w:color w:val="auto"/>
          <w:kern w:val="2"/>
          <w:sz w:val="32"/>
          <w:szCs w:val="32"/>
          <w:highlight w:val="none"/>
          <w:lang w:val="en-US" w:eastAsia="zh-CN" w:bidi="ar-SA"/>
        </w:rPr>
        <w:t>6</w:t>
      </w:r>
      <w:r>
        <w:rPr>
          <w:rFonts w:hint="eastAsia" w:ascii="Times New Roman" w:hAnsi="Times New Roman" w:eastAsia="方正仿宋_GBK" w:cs="仿宋_GB2312"/>
          <w:color w:val="auto"/>
          <w:kern w:val="2"/>
          <w:sz w:val="32"/>
          <w:szCs w:val="32"/>
          <w:highlight w:val="none"/>
          <w:lang w:val="en-US" w:eastAsia="zh-CN" w:bidi="ar-SA"/>
        </w:rPr>
        <w:t>万元。</w:t>
      </w:r>
      <w:r>
        <w:rPr>
          <w:rFonts w:hint="eastAsia" w:eastAsia="方正仿宋_GBK" w:cs="仿宋_GB2312"/>
          <w:color w:val="auto"/>
          <w:kern w:val="2"/>
          <w:sz w:val="32"/>
          <w:szCs w:val="32"/>
          <w:highlight w:val="none"/>
          <w:lang w:val="en-US" w:eastAsia="zh-CN" w:bidi="ar-SA"/>
        </w:rPr>
        <w:t>主要内容包括：指导督导、考察调研活动、媒体采访宣传等事项。</w:t>
      </w:r>
    </w:p>
    <w:p w14:paraId="1AC493EF">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未发生外事接待支出。</w:t>
      </w:r>
      <w:bookmarkStart w:id="43" w:name="_Toc15396610"/>
      <w:bookmarkStart w:id="44" w:name="_Toc15377218"/>
    </w:p>
    <w:p w14:paraId="73422C3A">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45" w:name="_Toc4522"/>
      <w:r>
        <w:rPr>
          <w:rFonts w:hint="eastAsia" w:ascii="Times New Roman" w:hAnsi="Times New Roman" w:eastAsia="方正黑体_GBK" w:cs="方正黑体_GBK"/>
          <w:color w:val="auto"/>
          <w:sz w:val="32"/>
          <w:szCs w:val="32"/>
          <w:highlight w:val="none"/>
          <w:lang w:eastAsia="zh-CN"/>
        </w:rPr>
        <w:t>八、政府性基金预算支出决算情况说明</w:t>
      </w:r>
      <w:bookmarkEnd w:id="43"/>
      <w:bookmarkEnd w:id="44"/>
      <w:bookmarkEnd w:id="45"/>
    </w:p>
    <w:p w14:paraId="5D9429B9">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年度政府性基金预算财政拨款支出</w:t>
      </w:r>
      <w:r>
        <w:rPr>
          <w:rFonts w:hint="eastAsia" w:ascii="Times New Roman" w:hAnsi="Times New Roman" w:eastAsia="方正仿宋_GBK" w:cs="仿宋_GB2312"/>
          <w:sz w:val="32"/>
          <w:szCs w:val="32"/>
          <w:lang w:val="en-US" w:eastAsia="zh-CN"/>
        </w:rPr>
        <w:t>0</w:t>
      </w:r>
      <w:r>
        <w:rPr>
          <w:rFonts w:hint="eastAsia" w:ascii="Times New Roman" w:hAnsi="Times New Roman" w:eastAsia="方正仿宋_GBK" w:cs="仿宋_GB2312"/>
          <w:color w:val="auto"/>
          <w:kern w:val="2"/>
          <w:sz w:val="32"/>
          <w:szCs w:val="32"/>
          <w:highlight w:val="none"/>
          <w:lang w:val="en-US" w:eastAsia="zh-CN" w:bidi="ar-SA"/>
        </w:rPr>
        <w:t>万元，占本年支出合计的</w:t>
      </w:r>
      <w:r>
        <w:rPr>
          <w:rFonts w:hint="eastAsia" w:eastAsia="方正仿宋_GBK" w:cs="仿宋_GB2312"/>
          <w:color w:val="auto"/>
          <w:kern w:val="2"/>
          <w:sz w:val="32"/>
          <w:szCs w:val="32"/>
          <w:highlight w:val="none"/>
          <w:lang w:val="en-US" w:eastAsia="zh-CN" w:bidi="ar-SA"/>
        </w:rPr>
        <w:t>0</w:t>
      </w:r>
      <w:r>
        <w:rPr>
          <w:rFonts w:hint="eastAsia" w:ascii="Times New Roman" w:hAnsi="Times New Roman" w:eastAsia="方正仿宋_GBK" w:cs="仿宋_GB2312"/>
          <w:color w:val="auto"/>
          <w:kern w:val="2"/>
          <w:sz w:val="32"/>
          <w:szCs w:val="32"/>
          <w:highlight w:val="none"/>
          <w:lang w:val="en-US" w:eastAsia="zh-CN" w:bidi="ar-SA"/>
        </w:rPr>
        <w:t>%。与</w:t>
      </w:r>
      <w:r>
        <w:rPr>
          <w:rFonts w:hint="eastAsia" w:eastAsia="方正仿宋_GBK" w:cs="仿宋_GB2312"/>
          <w:color w:val="auto"/>
          <w:kern w:val="2"/>
          <w:sz w:val="32"/>
          <w:szCs w:val="32"/>
          <w:highlight w:val="none"/>
          <w:lang w:val="en-US" w:eastAsia="zh-CN" w:bidi="ar-SA"/>
        </w:rPr>
        <w:t>上</w:t>
      </w:r>
      <w:r>
        <w:rPr>
          <w:rFonts w:hint="eastAsia" w:ascii="Times New Roman" w:hAnsi="Times New Roman" w:eastAsia="方正仿宋_GBK" w:cs="仿宋_GB2312"/>
          <w:color w:val="auto"/>
          <w:kern w:val="2"/>
          <w:sz w:val="32"/>
          <w:szCs w:val="32"/>
          <w:highlight w:val="none"/>
          <w:lang w:val="en-US" w:eastAsia="zh-CN" w:bidi="ar-SA"/>
        </w:rPr>
        <w:t>年度相比，政府性基金预算财政拨款支出</w:t>
      </w:r>
      <w:r>
        <w:rPr>
          <w:rFonts w:hint="eastAsia" w:eastAsia="方正仿宋_GBK" w:cs="仿宋_GB2312"/>
          <w:color w:val="auto"/>
          <w:kern w:val="2"/>
          <w:sz w:val="32"/>
          <w:szCs w:val="32"/>
          <w:highlight w:val="none"/>
          <w:lang w:val="en-US" w:eastAsia="zh-CN" w:bidi="ar-SA"/>
        </w:rPr>
        <w:t>减少</w:t>
      </w:r>
      <w:r>
        <w:rPr>
          <w:rFonts w:hint="eastAsia" w:ascii="Times New Roman" w:hAnsi="Times New Roman" w:eastAsia="方正仿宋_GBK" w:cs="仿宋_GB2312"/>
          <w:color w:val="auto"/>
          <w:kern w:val="2"/>
          <w:sz w:val="32"/>
          <w:szCs w:val="32"/>
          <w:highlight w:val="none"/>
          <w:lang w:val="en-US" w:eastAsia="zh-CN" w:bidi="ar-SA"/>
        </w:rPr>
        <w:t>40万元，增长100%。主要变动原因是本年度</w:t>
      </w:r>
      <w:r>
        <w:rPr>
          <w:rFonts w:hint="eastAsia" w:eastAsia="方正仿宋_GBK" w:cs="仿宋_GB2312"/>
          <w:color w:val="auto"/>
          <w:kern w:val="2"/>
          <w:sz w:val="32"/>
          <w:szCs w:val="32"/>
          <w:highlight w:val="none"/>
          <w:lang w:val="en-US" w:eastAsia="zh-CN" w:bidi="ar-SA"/>
        </w:rPr>
        <w:t>减少</w:t>
      </w:r>
      <w:r>
        <w:rPr>
          <w:rFonts w:hint="eastAsia" w:ascii="Times New Roman" w:hAnsi="Times New Roman" w:eastAsia="方正仿宋_GBK" w:cs="仿宋_GB2312"/>
          <w:color w:val="auto"/>
          <w:kern w:val="2"/>
          <w:sz w:val="32"/>
          <w:szCs w:val="32"/>
          <w:highlight w:val="none"/>
          <w:lang w:val="en-US" w:eastAsia="zh-CN" w:bidi="ar-SA"/>
        </w:rPr>
        <w:t>省级国家电影事业发展专项资金。</w:t>
      </w:r>
    </w:p>
    <w:p w14:paraId="7AC56A7F">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46" w:name="_Toc6395"/>
      <w:bookmarkStart w:id="47" w:name="_Toc15396611"/>
      <w:bookmarkStart w:id="48" w:name="_Toc15377219"/>
      <w:r>
        <w:rPr>
          <w:rFonts w:hint="eastAsia" w:ascii="Times New Roman" w:hAnsi="Times New Roman" w:eastAsia="方正黑体_GBK" w:cs="方正黑体_GBK"/>
          <w:color w:val="auto"/>
          <w:sz w:val="32"/>
          <w:szCs w:val="32"/>
          <w:highlight w:val="none"/>
          <w:lang w:eastAsia="zh-CN"/>
        </w:rPr>
        <w:t>九、国有资本经营预算支出决算情况说明</w:t>
      </w:r>
      <w:bookmarkEnd w:id="46"/>
      <w:bookmarkEnd w:id="47"/>
      <w:bookmarkEnd w:id="48"/>
    </w:p>
    <w:p w14:paraId="346E0160">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年度国有资本经营预算财政拨款支出</w:t>
      </w:r>
      <w:r>
        <w:rPr>
          <w:rFonts w:hint="eastAsia" w:ascii="Times New Roman" w:hAnsi="Times New Roman" w:eastAsia="方正仿宋_GBK" w:cs="仿宋_GB2312"/>
          <w:sz w:val="32"/>
          <w:szCs w:val="32"/>
          <w:lang w:val="en-US" w:eastAsia="zh-CN"/>
        </w:rPr>
        <w:t>0</w:t>
      </w:r>
      <w:r>
        <w:rPr>
          <w:rFonts w:hint="eastAsia" w:ascii="Times New Roman" w:hAnsi="Times New Roman" w:eastAsia="方正仿宋_GBK" w:cs="仿宋_GB2312"/>
          <w:color w:val="auto"/>
          <w:kern w:val="2"/>
          <w:sz w:val="32"/>
          <w:szCs w:val="32"/>
          <w:highlight w:val="none"/>
          <w:lang w:val="en-US" w:eastAsia="zh-CN" w:bidi="ar-SA"/>
        </w:rPr>
        <w:t>万元。</w:t>
      </w:r>
    </w:p>
    <w:p w14:paraId="02E541FB">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49" w:name="_Toc15396612"/>
      <w:bookmarkStart w:id="50" w:name="_Toc15377221"/>
      <w:bookmarkStart w:id="51" w:name="_Toc5506"/>
      <w:r>
        <w:rPr>
          <w:rFonts w:hint="eastAsia" w:ascii="Times New Roman" w:hAnsi="Times New Roman" w:eastAsia="方正黑体_GBK" w:cs="方正黑体_GBK"/>
          <w:color w:val="auto"/>
          <w:sz w:val="32"/>
          <w:szCs w:val="32"/>
          <w:highlight w:val="none"/>
          <w:lang w:eastAsia="zh-CN"/>
        </w:rPr>
        <w:t>十、其他重要事项的情况说明</w:t>
      </w:r>
      <w:bookmarkEnd w:id="49"/>
      <w:bookmarkEnd w:id="50"/>
      <w:bookmarkEnd w:id="51"/>
    </w:p>
    <w:p w14:paraId="195DCBEA">
      <w:pPr>
        <w:keepNext w:val="0"/>
        <w:keepLines w:val="0"/>
        <w:pageBreakBefore w:val="0"/>
        <w:widowControl w:val="0"/>
        <w:suppressLineNumbers w:val="0"/>
        <w:kinsoku/>
        <w:wordWrap/>
        <w:overflowPunct/>
        <w:topLinePunct w:val="0"/>
        <w:autoSpaceDN/>
        <w:bidi w:val="0"/>
        <w:spacing w:before="0" w:beforeAutospacing="0" w:after="0" w:afterAutospacing="0" w:line="600" w:lineRule="exact"/>
        <w:ind w:left="0" w:right="0" w:firstLine="640"/>
        <w:jc w:val="both"/>
        <w:rPr>
          <w:rFonts w:hint="eastAsia" w:ascii="Times New Roman" w:hAnsi="Times New Roman" w:eastAsia="方正楷体_GBK" w:cs="方正楷体_GBK"/>
          <w:color w:val="auto"/>
          <w:kern w:val="2"/>
          <w:sz w:val="32"/>
          <w:szCs w:val="32"/>
          <w:highlight w:val="none"/>
          <w:lang w:val="en-US" w:eastAsia="zh-CN" w:bidi="ar-SA"/>
        </w:rPr>
      </w:pPr>
      <w:bookmarkStart w:id="52" w:name="_Toc15377222"/>
      <w:r>
        <w:rPr>
          <w:rFonts w:hint="eastAsia" w:ascii="Times New Roman" w:hAnsi="Times New Roman" w:eastAsia="方正楷体_GBK" w:cs="方正楷体_GBK"/>
          <w:color w:val="auto"/>
          <w:kern w:val="2"/>
          <w:sz w:val="32"/>
          <w:szCs w:val="32"/>
          <w:highlight w:val="none"/>
          <w:lang w:val="en-US" w:eastAsia="zh-CN" w:bidi="ar-SA"/>
        </w:rPr>
        <w:t>（一）机关运行经费支出情况</w:t>
      </w:r>
      <w:bookmarkEnd w:id="52"/>
    </w:p>
    <w:p w14:paraId="582F8C77">
      <w:pPr>
        <w:keepNext w:val="0"/>
        <w:keepLines w:val="0"/>
        <w:pageBreakBefore w:val="0"/>
        <w:widowControl w:val="0"/>
        <w:suppressLineNumbers w:val="0"/>
        <w:kinsoku/>
        <w:wordWrap/>
        <w:overflowPunct/>
        <w:topLinePunct w:val="0"/>
        <w:autoSpaceDN/>
        <w:bidi w:val="0"/>
        <w:spacing w:before="0" w:beforeAutospacing="0" w:after="0" w:afterAutospacing="0" w:line="600" w:lineRule="exact"/>
        <w:ind w:left="0" w:right="0" w:firstLine="640"/>
        <w:jc w:val="both"/>
        <w:rPr>
          <w:rFonts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年度，中国共产党巴中市委员会宣传部机关运行经费支出</w:t>
      </w:r>
      <w:r>
        <w:rPr>
          <w:rFonts w:hint="eastAsia" w:eastAsia="方正仿宋_GBK" w:cs="仿宋_GB2312"/>
          <w:color w:val="auto"/>
          <w:kern w:val="2"/>
          <w:sz w:val="32"/>
          <w:szCs w:val="32"/>
          <w:highlight w:val="none"/>
          <w:lang w:val="en-US" w:eastAsia="zh-CN" w:bidi="ar-SA"/>
        </w:rPr>
        <w:t>284.46</w:t>
      </w:r>
      <w:r>
        <w:rPr>
          <w:rFonts w:hint="eastAsia" w:ascii="Times New Roman" w:hAnsi="Times New Roman" w:eastAsia="方正仿宋_GBK" w:cs="仿宋_GB2312"/>
          <w:color w:val="auto"/>
          <w:kern w:val="2"/>
          <w:sz w:val="32"/>
          <w:szCs w:val="32"/>
          <w:highlight w:val="none"/>
          <w:lang w:val="en-US" w:eastAsia="zh-CN" w:bidi="ar-SA"/>
        </w:rPr>
        <w:t>万元，比</w:t>
      </w:r>
      <w:r>
        <w:rPr>
          <w:rFonts w:hint="eastAsia" w:eastAsia="方正仿宋_GBK" w:cs="仿宋_GB2312"/>
          <w:color w:val="auto"/>
          <w:kern w:val="2"/>
          <w:sz w:val="32"/>
          <w:szCs w:val="32"/>
          <w:highlight w:val="none"/>
          <w:lang w:val="en-US" w:eastAsia="zh-CN" w:bidi="ar-SA"/>
        </w:rPr>
        <w:t>上</w:t>
      </w:r>
      <w:r>
        <w:rPr>
          <w:rFonts w:hint="eastAsia" w:ascii="Times New Roman" w:hAnsi="Times New Roman" w:eastAsia="方正仿宋_GBK" w:cs="仿宋_GB2312"/>
          <w:color w:val="auto"/>
          <w:kern w:val="2"/>
          <w:sz w:val="32"/>
          <w:szCs w:val="32"/>
          <w:highlight w:val="none"/>
          <w:lang w:val="en-US" w:eastAsia="zh-CN" w:bidi="ar-SA"/>
        </w:rPr>
        <w:t>年度</w:t>
      </w:r>
      <w:r>
        <w:rPr>
          <w:rFonts w:ascii="Times New Roman" w:hAnsi="Times New Roman" w:eastAsia="方正仿宋_GBK" w:cs="仿宋_GB2312"/>
          <w:color w:val="auto"/>
          <w:kern w:val="2"/>
          <w:sz w:val="32"/>
          <w:szCs w:val="32"/>
          <w:highlight w:val="none"/>
          <w:lang w:val="en-US" w:eastAsia="zh-CN" w:bidi="ar-SA"/>
        </w:rPr>
        <w:t>减少9.94</w:t>
      </w:r>
      <w:r>
        <w:rPr>
          <w:rFonts w:hint="eastAsia" w:ascii="Times New Roman" w:hAnsi="Times New Roman" w:eastAsia="方正仿宋_GBK" w:cs="仿宋_GB2312"/>
          <w:color w:val="auto"/>
          <w:kern w:val="2"/>
          <w:sz w:val="32"/>
          <w:szCs w:val="32"/>
          <w:highlight w:val="none"/>
          <w:lang w:val="en-US" w:eastAsia="zh-CN" w:bidi="ar-SA"/>
        </w:rPr>
        <w:t>万元，下降</w:t>
      </w:r>
      <w:r>
        <w:rPr>
          <w:rFonts w:ascii="Times New Roman" w:hAnsi="Times New Roman" w:eastAsia="方正仿宋_GBK" w:cs="仿宋_GB2312"/>
          <w:color w:val="auto"/>
          <w:kern w:val="2"/>
          <w:sz w:val="32"/>
          <w:szCs w:val="32"/>
          <w:highlight w:val="none"/>
          <w:lang w:val="en-US" w:eastAsia="zh-CN" w:bidi="ar-SA"/>
        </w:rPr>
        <w:t>3.38</w:t>
      </w:r>
      <w:r>
        <w:rPr>
          <w:rFonts w:hint="eastAsia" w:ascii="Times New Roman" w:hAnsi="Times New Roman" w:eastAsia="方正仿宋_GBK" w:cs="仿宋_GB2312"/>
          <w:color w:val="auto"/>
          <w:kern w:val="2"/>
          <w:sz w:val="32"/>
          <w:szCs w:val="32"/>
          <w:highlight w:val="none"/>
          <w:lang w:val="en-US" w:eastAsia="zh-CN" w:bidi="ar-SA"/>
        </w:rPr>
        <w:t>%。主要原因</w:t>
      </w:r>
      <w:r>
        <w:rPr>
          <w:rFonts w:ascii="Times New Roman" w:hAnsi="Times New Roman" w:eastAsia="方正仿宋_GBK" w:cs="仿宋_GB2312"/>
          <w:color w:val="auto"/>
          <w:kern w:val="2"/>
          <w:sz w:val="32"/>
          <w:szCs w:val="32"/>
          <w:highlight w:val="none"/>
          <w:lang w:val="en-US" w:eastAsia="zh-CN" w:bidi="ar-SA"/>
        </w:rPr>
        <w:t>是预算基数降低。</w:t>
      </w:r>
      <w:bookmarkStart w:id="53" w:name="_Toc15377223"/>
    </w:p>
    <w:p w14:paraId="7629DA3C">
      <w:pPr>
        <w:keepNext w:val="0"/>
        <w:keepLines w:val="0"/>
        <w:pageBreakBefore w:val="0"/>
        <w:widowControl w:val="0"/>
        <w:suppressLineNumbers w:val="0"/>
        <w:kinsoku/>
        <w:wordWrap/>
        <w:overflowPunct/>
        <w:topLinePunct w:val="0"/>
        <w:autoSpaceDN/>
        <w:bidi w:val="0"/>
        <w:spacing w:before="0" w:beforeAutospacing="0" w:after="0" w:afterAutospacing="0" w:line="600" w:lineRule="exact"/>
        <w:ind w:left="0" w:right="0" w:firstLine="640"/>
        <w:jc w:val="both"/>
        <w:rPr>
          <w:rFonts w:hint="eastAsia" w:ascii="Times New Roman" w:hAnsi="Times New Roman" w:eastAsia="方正楷体_GBK" w:cs="方正楷体_GBK"/>
          <w:color w:val="auto"/>
          <w:kern w:val="2"/>
          <w:sz w:val="32"/>
          <w:szCs w:val="32"/>
          <w:highlight w:val="none"/>
          <w:lang w:val="en-US" w:eastAsia="zh-CN" w:bidi="ar-SA"/>
        </w:rPr>
      </w:pPr>
      <w:r>
        <w:rPr>
          <w:rFonts w:hint="eastAsia" w:ascii="Times New Roman" w:hAnsi="Times New Roman" w:eastAsia="方正楷体_GBK" w:cs="方正楷体_GBK"/>
          <w:color w:val="auto"/>
          <w:kern w:val="2"/>
          <w:sz w:val="32"/>
          <w:szCs w:val="32"/>
          <w:highlight w:val="none"/>
          <w:lang w:val="en-US" w:eastAsia="zh-CN" w:bidi="ar-SA"/>
        </w:rPr>
        <w:t>（二）政府采购支出情况</w:t>
      </w:r>
      <w:bookmarkEnd w:id="53"/>
    </w:p>
    <w:p w14:paraId="5957A75A">
      <w:pPr>
        <w:keepNext w:val="0"/>
        <w:keepLines w:val="0"/>
        <w:pageBreakBefore w:val="0"/>
        <w:widowControl w:val="0"/>
        <w:suppressLineNumbers w:val="0"/>
        <w:kinsoku/>
        <w:wordWrap/>
        <w:overflowPunct/>
        <w:topLinePunct w:val="0"/>
        <w:autoSpaceDN/>
        <w:bidi w:val="0"/>
        <w:spacing w:before="0" w:beforeAutospacing="0" w:after="0" w:afterAutospacing="0" w:line="600" w:lineRule="exact"/>
        <w:ind w:left="0" w:right="0" w:firstLine="640"/>
        <w:jc w:val="both"/>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年度，中国共产党</w:t>
      </w:r>
      <w:r>
        <w:rPr>
          <w:rFonts w:ascii="Times New Roman" w:hAnsi="Times New Roman" w:eastAsia="方正仿宋_GBK" w:cs="仿宋_GB2312"/>
          <w:color w:val="auto"/>
          <w:kern w:val="2"/>
          <w:sz w:val="32"/>
          <w:szCs w:val="32"/>
          <w:highlight w:val="none"/>
          <w:lang w:val="en-US" w:eastAsia="zh-CN" w:bidi="ar-SA"/>
        </w:rPr>
        <w:t>巴中市委员会宣传部</w:t>
      </w:r>
      <w:r>
        <w:rPr>
          <w:rFonts w:hint="eastAsia" w:ascii="Times New Roman" w:hAnsi="Times New Roman" w:eastAsia="方正仿宋_GBK" w:cs="仿宋_GB2312"/>
          <w:color w:val="auto"/>
          <w:kern w:val="2"/>
          <w:sz w:val="32"/>
          <w:szCs w:val="32"/>
          <w:highlight w:val="none"/>
          <w:lang w:val="en-US" w:eastAsia="zh-CN" w:bidi="ar-SA"/>
        </w:rPr>
        <w:t>政府采购支出总额</w:t>
      </w:r>
      <w:r>
        <w:rPr>
          <w:rFonts w:hint="eastAsia" w:eastAsia="方正仿宋_GBK" w:cs="仿宋_GB2312"/>
          <w:color w:val="auto"/>
          <w:kern w:val="2"/>
          <w:sz w:val="32"/>
          <w:szCs w:val="32"/>
          <w:highlight w:val="none"/>
          <w:lang w:val="en-US" w:eastAsia="zh-CN" w:bidi="ar-SA"/>
        </w:rPr>
        <w:t>0</w:t>
      </w:r>
      <w:r>
        <w:rPr>
          <w:rFonts w:hint="eastAsia" w:ascii="Times New Roman" w:hAnsi="Times New Roman" w:eastAsia="方正仿宋_GBK" w:cs="仿宋_GB2312"/>
          <w:color w:val="auto"/>
          <w:kern w:val="2"/>
          <w:sz w:val="32"/>
          <w:szCs w:val="32"/>
          <w:highlight w:val="none"/>
          <w:lang w:val="en-US" w:eastAsia="zh-CN" w:bidi="ar-SA"/>
        </w:rPr>
        <w:t>万元</w:t>
      </w:r>
      <w:r>
        <w:rPr>
          <w:rFonts w:ascii="Times New Roman" w:hAnsi="Times New Roman" w:eastAsia="方正仿宋_GBK"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其中：政府采购货物支出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_GB2312" w:cs="仿宋_GB2312"/>
          <w:color w:val="auto"/>
          <w:kern w:val="2"/>
          <w:sz w:val="32"/>
          <w:szCs w:val="32"/>
          <w:highlight w:val="none"/>
          <w:lang w:val="en-US" w:eastAsia="zh-CN" w:bidi="ar-SA"/>
        </w:rPr>
        <w:t>。</w:t>
      </w:r>
    </w:p>
    <w:p w14:paraId="6252A5A2">
      <w:pPr>
        <w:keepNext w:val="0"/>
        <w:keepLines w:val="0"/>
        <w:pageBreakBefore w:val="0"/>
        <w:widowControl w:val="0"/>
        <w:suppressLineNumbers w:val="0"/>
        <w:kinsoku/>
        <w:wordWrap/>
        <w:overflowPunct/>
        <w:topLinePunct w:val="0"/>
        <w:autoSpaceDN/>
        <w:bidi w:val="0"/>
        <w:spacing w:before="0" w:beforeAutospacing="0" w:after="0" w:afterAutospacing="0" w:line="600" w:lineRule="exact"/>
        <w:ind w:left="0" w:right="0" w:firstLine="640"/>
        <w:jc w:val="both"/>
        <w:rPr>
          <w:rFonts w:hint="eastAsia" w:ascii="Times New Roman" w:hAnsi="Times New Roman" w:eastAsia="方正楷体_GBK" w:cs="方正楷体_GBK"/>
          <w:color w:val="auto"/>
          <w:kern w:val="2"/>
          <w:sz w:val="32"/>
          <w:szCs w:val="32"/>
          <w:highlight w:val="none"/>
          <w:lang w:val="en-US" w:eastAsia="zh-CN" w:bidi="ar-SA"/>
        </w:rPr>
      </w:pPr>
      <w:bookmarkStart w:id="54" w:name="_Toc15377224"/>
      <w:r>
        <w:rPr>
          <w:rFonts w:hint="eastAsia" w:ascii="Times New Roman" w:hAnsi="Times New Roman" w:eastAsia="方正楷体_GBK" w:cs="方正楷体_GBK"/>
          <w:color w:val="auto"/>
          <w:kern w:val="2"/>
          <w:sz w:val="32"/>
          <w:szCs w:val="32"/>
          <w:highlight w:val="none"/>
          <w:lang w:val="en-US" w:eastAsia="zh-CN" w:bidi="ar-SA"/>
        </w:rPr>
        <w:t>（三）国有资产占有使用情况</w:t>
      </w:r>
      <w:bookmarkEnd w:id="54"/>
    </w:p>
    <w:p w14:paraId="38E5EFDE">
      <w:pPr>
        <w:keepNext w:val="0"/>
        <w:keepLines w:val="0"/>
        <w:pageBreakBefore w:val="0"/>
        <w:widowControl w:val="0"/>
        <w:suppressLineNumbers w:val="0"/>
        <w:kinsoku/>
        <w:wordWrap/>
        <w:overflowPunct/>
        <w:topLinePunct w:val="0"/>
        <w:autoSpaceDN/>
        <w:bidi w:val="0"/>
        <w:spacing w:before="0" w:beforeAutospacing="0" w:after="0" w:afterAutospacing="0" w:line="600" w:lineRule="exact"/>
        <w:ind w:left="0" w:right="0" w:firstLine="640"/>
        <w:jc w:val="both"/>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截至20</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年12月31日，中</w:t>
      </w:r>
      <w:r>
        <w:rPr>
          <w:rFonts w:ascii="Times New Roman" w:hAnsi="Times New Roman" w:eastAsia="方正仿宋_GBK" w:cs="仿宋_GB2312"/>
          <w:color w:val="auto"/>
          <w:kern w:val="2"/>
          <w:sz w:val="32"/>
          <w:szCs w:val="32"/>
          <w:highlight w:val="none"/>
          <w:lang w:val="en-US" w:eastAsia="zh-CN" w:bidi="ar-SA"/>
        </w:rPr>
        <w:t>国共产党巴中市委员会宣传部</w:t>
      </w:r>
      <w:r>
        <w:rPr>
          <w:rFonts w:hint="eastAsia" w:ascii="Times New Roman" w:hAnsi="Times New Roman" w:eastAsia="方正仿宋_GBK" w:cs="仿宋_GB2312"/>
          <w:color w:val="auto"/>
          <w:kern w:val="2"/>
          <w:sz w:val="32"/>
          <w:szCs w:val="32"/>
          <w:highlight w:val="none"/>
          <w:lang w:val="en-US" w:eastAsia="zh-CN" w:bidi="ar-SA"/>
        </w:rPr>
        <w:t>共有车辆2辆，其中：应急保障用车2辆。无单价100万元（含）以上设备。</w:t>
      </w:r>
    </w:p>
    <w:p w14:paraId="591485FA">
      <w:pPr>
        <w:keepNext w:val="0"/>
        <w:keepLines w:val="0"/>
        <w:pageBreakBefore w:val="0"/>
        <w:widowControl w:val="0"/>
        <w:suppressLineNumbers w:val="0"/>
        <w:kinsoku/>
        <w:wordWrap/>
        <w:overflowPunct/>
        <w:topLinePunct w:val="0"/>
        <w:autoSpaceDN/>
        <w:bidi w:val="0"/>
        <w:spacing w:before="0" w:beforeAutospacing="0" w:after="0" w:afterAutospacing="0" w:line="600" w:lineRule="exact"/>
        <w:ind w:left="0" w:right="0" w:firstLine="640"/>
        <w:jc w:val="both"/>
        <w:rPr>
          <w:rFonts w:hint="eastAsia" w:ascii="Times New Roman" w:hAnsi="Times New Roman" w:eastAsia="方正楷体_GBK" w:cs="方正楷体_GBK"/>
          <w:color w:val="auto"/>
          <w:kern w:val="2"/>
          <w:sz w:val="32"/>
          <w:szCs w:val="32"/>
          <w:highlight w:val="none"/>
          <w:lang w:val="en-US" w:eastAsia="zh-CN" w:bidi="ar-SA"/>
        </w:rPr>
      </w:pPr>
      <w:r>
        <w:rPr>
          <w:rFonts w:hint="eastAsia" w:ascii="Times New Roman" w:hAnsi="Times New Roman" w:eastAsia="方正楷体_GBK" w:cs="方正楷体_GBK"/>
          <w:color w:val="auto"/>
          <w:kern w:val="2"/>
          <w:sz w:val="32"/>
          <w:szCs w:val="32"/>
          <w:highlight w:val="none"/>
          <w:lang w:val="en-US" w:eastAsia="zh-CN" w:bidi="ar-SA"/>
        </w:rPr>
        <w:t>（四）预算绩效管理情况</w:t>
      </w:r>
    </w:p>
    <w:p w14:paraId="500B9418">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根据预算绩效管理要求，中</w:t>
      </w:r>
      <w:r>
        <w:rPr>
          <w:rFonts w:ascii="Times New Roman" w:hAnsi="Times New Roman" w:eastAsia="方正仿宋_GBK" w:cs="仿宋_GB2312"/>
          <w:kern w:val="2"/>
          <w:sz w:val="32"/>
          <w:szCs w:val="32"/>
          <w:lang w:val="en-US" w:eastAsia="zh-CN"/>
        </w:rPr>
        <w:t>国共产党巴中市委员会宣传部</w:t>
      </w:r>
      <w:r>
        <w:rPr>
          <w:rFonts w:hint="eastAsia" w:ascii="Times New Roman" w:hAnsi="Times New Roman" w:eastAsia="方正仿宋_GBK" w:cs="仿宋_GB2312"/>
          <w:color w:val="auto"/>
          <w:kern w:val="2"/>
          <w:sz w:val="32"/>
          <w:szCs w:val="32"/>
          <w:highlight w:val="none"/>
          <w:lang w:val="en-US" w:eastAsia="zh-CN" w:bidi="ar-SA"/>
        </w:rPr>
        <w:t>在202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年度预算编制阶段，组织对</w:t>
      </w:r>
      <w:r>
        <w:rPr>
          <w:rFonts w:hint="eastAsia" w:eastAsia="方正仿宋_GBK" w:cs="仿宋_GB2312"/>
          <w:color w:val="auto"/>
          <w:kern w:val="2"/>
          <w:sz w:val="32"/>
          <w:szCs w:val="32"/>
          <w:highlight w:val="none"/>
          <w:lang w:val="en-US" w:eastAsia="zh-CN" w:bidi="ar-SA"/>
        </w:rPr>
        <w:t>第七届全国文明城市创建工作经费、外宣策划及合作经费、2024年专项外宣合作经费3</w:t>
      </w:r>
      <w:r>
        <w:rPr>
          <w:rFonts w:hint="eastAsia" w:ascii="Times New Roman" w:hAnsi="Times New Roman" w:eastAsia="方正仿宋_GBK" w:cs="仿宋_GB2312"/>
          <w:color w:val="auto"/>
          <w:kern w:val="2"/>
          <w:sz w:val="32"/>
          <w:szCs w:val="32"/>
          <w:highlight w:val="none"/>
          <w:lang w:val="en-US" w:eastAsia="zh-CN" w:bidi="ar-SA"/>
        </w:rPr>
        <w:t>个项目开展了预算事前绩效评估，对</w:t>
      </w:r>
      <w:r>
        <w:rPr>
          <w:rFonts w:hint="eastAsia" w:eastAsia="方正仿宋_GBK" w:cs="仿宋_GB2312"/>
          <w:color w:val="auto"/>
          <w:kern w:val="2"/>
          <w:sz w:val="32"/>
          <w:szCs w:val="32"/>
          <w:highlight w:val="none"/>
          <w:lang w:val="en-US" w:eastAsia="zh-CN" w:bidi="ar-SA"/>
        </w:rPr>
        <w:t>50</w:t>
      </w:r>
      <w:r>
        <w:rPr>
          <w:rFonts w:hint="eastAsia" w:ascii="Times New Roman" w:hAnsi="Times New Roman" w:eastAsia="方正仿宋_GBK" w:cs="仿宋_GB2312"/>
          <w:color w:val="auto"/>
          <w:kern w:val="2"/>
          <w:sz w:val="32"/>
          <w:szCs w:val="32"/>
          <w:highlight w:val="none"/>
          <w:lang w:val="en-US" w:eastAsia="zh-CN" w:bidi="ar-SA"/>
        </w:rPr>
        <w:t>个项目编制了绩效目标，预算执行过程中，</w:t>
      </w:r>
      <w:r>
        <w:rPr>
          <w:rFonts w:hint="eastAsia" w:eastAsia="方正仿宋_GBK" w:cs="仿宋_GB2312"/>
          <w:color w:val="auto"/>
          <w:kern w:val="2"/>
          <w:sz w:val="32"/>
          <w:szCs w:val="32"/>
          <w:highlight w:val="none"/>
          <w:lang w:val="en-US" w:eastAsia="zh-CN" w:bidi="ar-SA"/>
        </w:rPr>
        <w:t>对50</w:t>
      </w:r>
      <w:r>
        <w:rPr>
          <w:rFonts w:hint="eastAsia" w:ascii="Times New Roman" w:hAnsi="Times New Roman" w:eastAsia="方正仿宋_GBK" w:cs="仿宋_GB2312"/>
          <w:color w:val="auto"/>
          <w:kern w:val="2"/>
          <w:sz w:val="32"/>
          <w:szCs w:val="32"/>
          <w:highlight w:val="none"/>
          <w:lang w:val="en-US" w:eastAsia="zh-CN" w:bidi="ar-SA"/>
        </w:rPr>
        <w:t>个项目开展绩效监控。组织对202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年度一般公共预算、政府性基金预算等全面开展绩效自评，形成</w:t>
      </w:r>
      <w:r>
        <w:rPr>
          <w:rFonts w:ascii="Times New Roman" w:hAnsi="Times New Roman" w:eastAsia="方正仿宋_GBK" w:cs="仿宋_GB2312"/>
          <w:color w:val="auto"/>
          <w:kern w:val="2"/>
          <w:sz w:val="32"/>
          <w:szCs w:val="32"/>
          <w:highlight w:val="none"/>
          <w:lang w:val="en-US" w:eastAsia="zh-CN" w:bidi="ar-SA"/>
        </w:rPr>
        <w:t>中国共产党巴中市委员会宣传部</w:t>
      </w:r>
      <w:r>
        <w:rPr>
          <w:rFonts w:hint="eastAsia" w:ascii="Times New Roman" w:hAnsi="Times New Roman" w:eastAsia="方正仿宋_GBK" w:cs="仿宋_GB2312"/>
          <w:color w:val="auto"/>
          <w:kern w:val="2"/>
          <w:sz w:val="32"/>
          <w:szCs w:val="32"/>
          <w:highlight w:val="none"/>
          <w:lang w:val="en-US" w:eastAsia="zh-CN" w:bidi="ar-SA"/>
        </w:rPr>
        <w:t>部门整体（含部门预算项目）绩效自评报告。其中，</w:t>
      </w:r>
      <w:r>
        <w:rPr>
          <w:rFonts w:ascii="Times New Roman" w:hAnsi="Times New Roman" w:eastAsia="方正仿宋_GBK" w:cs="仿宋_GB2312"/>
          <w:color w:val="auto"/>
          <w:kern w:val="2"/>
          <w:sz w:val="32"/>
          <w:szCs w:val="32"/>
          <w:highlight w:val="none"/>
          <w:lang w:val="en-US" w:eastAsia="zh-CN" w:bidi="ar-SA"/>
        </w:rPr>
        <w:t>中国共产党巴中市委员会宣传部</w:t>
      </w:r>
      <w:r>
        <w:rPr>
          <w:rFonts w:hint="eastAsia" w:ascii="Times New Roman" w:hAnsi="Times New Roman" w:eastAsia="方正仿宋_GBK" w:cs="仿宋_GB2312"/>
          <w:color w:val="auto"/>
          <w:kern w:val="2"/>
          <w:sz w:val="32"/>
          <w:szCs w:val="32"/>
          <w:highlight w:val="none"/>
          <w:lang w:val="en-US" w:eastAsia="zh-CN" w:bidi="ar-SA"/>
        </w:rPr>
        <w:t>部门整体（含部门预算项目）绩效自评得分为9</w:t>
      </w:r>
      <w:r>
        <w:rPr>
          <w:rFonts w:hint="eastAsia" w:eastAsia="方正仿宋_GBK" w:cs="仿宋_GB2312"/>
          <w:color w:val="auto"/>
          <w:kern w:val="2"/>
          <w:sz w:val="32"/>
          <w:szCs w:val="32"/>
          <w:highlight w:val="none"/>
          <w:lang w:val="en-US" w:eastAsia="zh-CN" w:bidi="ar-SA"/>
        </w:rPr>
        <w:t>5.21</w:t>
      </w:r>
      <w:r>
        <w:rPr>
          <w:rFonts w:hint="eastAsia" w:ascii="Times New Roman" w:hAnsi="Times New Roman" w:eastAsia="方正仿宋_GBK" w:cs="仿宋_GB2312"/>
          <w:color w:val="auto"/>
          <w:kern w:val="2"/>
          <w:sz w:val="32"/>
          <w:szCs w:val="32"/>
          <w:highlight w:val="none"/>
          <w:lang w:val="en-US" w:eastAsia="zh-CN" w:bidi="ar-SA"/>
        </w:rPr>
        <w:t>分，绩效自评综述整体支出绩效目标与年初预算申报的绩效目标相符，圆满完成了各项目标任务，达到了预期的效果。绩效自评报告详见附件</w:t>
      </w:r>
      <w:r>
        <w:rPr>
          <w:rFonts w:hint="eastAsia" w:eastAsia="方正仿宋_GBK" w:cs="仿宋_GB2312"/>
          <w:color w:val="auto"/>
          <w:kern w:val="2"/>
          <w:sz w:val="32"/>
          <w:szCs w:val="32"/>
          <w:highlight w:val="none"/>
          <w:lang w:val="en-US" w:eastAsia="zh-CN" w:bidi="ar-SA"/>
        </w:rPr>
        <w:t>（部分项目因涉密未公开）</w:t>
      </w:r>
      <w:r>
        <w:rPr>
          <w:rFonts w:hint="eastAsia" w:ascii="Times New Roman" w:hAnsi="Times New Roman" w:eastAsia="方正仿宋_GBK" w:cs="仿宋_GB2312"/>
          <w:color w:val="auto"/>
          <w:kern w:val="2"/>
          <w:sz w:val="32"/>
          <w:szCs w:val="32"/>
          <w:highlight w:val="none"/>
          <w:lang w:val="en-US" w:eastAsia="zh-CN" w:bidi="ar-SA"/>
        </w:rPr>
        <w:t>。</w:t>
      </w:r>
    </w:p>
    <w:p w14:paraId="39E16D78">
      <w:pPr>
        <w:keepNext w:val="0"/>
        <w:keepLines w:val="0"/>
        <w:pageBreakBefore w:val="0"/>
        <w:widowControl w:val="0"/>
        <w:suppressLineNumbers w:val="0"/>
        <w:kinsoku/>
        <w:wordWrap/>
        <w:overflowPunct/>
        <w:topLinePunct w:val="0"/>
        <w:autoSpaceDN/>
        <w:bidi w:val="0"/>
        <w:spacing w:before="0" w:beforeAutospacing="0" w:after="0" w:afterAutospacing="0" w:line="600" w:lineRule="exact"/>
        <w:ind w:left="0" w:right="0" w:firstLine="640"/>
        <w:jc w:val="both"/>
        <w:rPr>
          <w:rFonts w:hint="eastAsia" w:ascii="Times New Roman" w:hAnsi="Times New Roman" w:eastAsia="方正仿宋_GBK" w:cs="仿宋_GB2312"/>
          <w:color w:val="auto"/>
          <w:kern w:val="2"/>
          <w:sz w:val="32"/>
          <w:szCs w:val="32"/>
          <w:highlight w:val="none"/>
          <w:lang w:val="en-US" w:eastAsia="zh-CN" w:bidi="ar-SA"/>
        </w:rPr>
      </w:pPr>
    </w:p>
    <w:p w14:paraId="0B01049A">
      <w:pPr>
        <w:keepNext w:val="0"/>
        <w:keepLines w:val="0"/>
        <w:pageBreakBefore w:val="0"/>
        <w:widowControl w:val="0"/>
        <w:suppressLineNumbers w:val="0"/>
        <w:kinsoku/>
        <w:wordWrap/>
        <w:overflowPunct/>
        <w:topLinePunct w:val="0"/>
        <w:autoSpaceDN/>
        <w:bidi w:val="0"/>
        <w:spacing w:before="0" w:beforeAutospacing="0" w:after="0" w:afterAutospacing="0" w:line="600" w:lineRule="exact"/>
        <w:ind w:left="0" w:right="0" w:firstLine="640"/>
        <w:jc w:val="both"/>
        <w:rPr>
          <w:rFonts w:ascii="Times New Roman" w:hAnsi="Times New Roman" w:eastAsia="方正仿宋_GBK" w:cs="仿宋_GB2312"/>
          <w:color w:val="auto"/>
          <w:kern w:val="2"/>
          <w:sz w:val="32"/>
          <w:szCs w:val="32"/>
          <w:highlight w:val="none"/>
          <w:lang w:val="en-US" w:eastAsia="zh-CN" w:bidi="ar-SA"/>
        </w:rPr>
      </w:pPr>
    </w:p>
    <w:p w14:paraId="5575894F">
      <w:pPr>
        <w:keepNext w:val="0"/>
        <w:keepLines w:val="0"/>
        <w:pageBreakBefore w:val="0"/>
        <w:widowControl w:val="0"/>
        <w:suppressLineNumbers w:val="0"/>
        <w:kinsoku/>
        <w:wordWrap/>
        <w:overflowPunct/>
        <w:topLinePunct w:val="0"/>
        <w:autoSpaceDN/>
        <w:bidi w:val="0"/>
        <w:spacing w:before="0" w:beforeAutospacing="0" w:after="0" w:afterAutospacing="0" w:line="600" w:lineRule="exact"/>
        <w:ind w:left="0" w:right="0" w:firstLine="640"/>
        <w:jc w:val="both"/>
        <w:rPr>
          <w:rFonts w:hint="eastAsia" w:ascii="Times New Roman" w:hAnsi="Times New Roman" w:eastAsia="方正仿宋_GBK" w:cs="仿宋_GB2312"/>
          <w:color w:val="auto"/>
          <w:kern w:val="2"/>
          <w:sz w:val="32"/>
          <w:szCs w:val="32"/>
          <w:highlight w:val="none"/>
          <w:lang w:val="en-US" w:eastAsia="zh-CN" w:bidi="ar-SA"/>
        </w:rPr>
      </w:pPr>
    </w:p>
    <w:p w14:paraId="39F93DDE">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p>
    <w:p w14:paraId="3849AA4B">
      <w:pPr>
        <w:rPr>
          <w:rFonts w:hint="eastAsia" w:ascii="Times New Roman" w:hAnsi="Times New Roman" w:eastAsia="方正小标宋简体" w:cs="方正小标宋简体"/>
          <w:b w:val="0"/>
          <w:color w:val="auto"/>
          <w:highlight w:val="none"/>
        </w:rPr>
      </w:pPr>
      <w:bookmarkStart w:id="55" w:name="_Toc15377225"/>
      <w:bookmarkStart w:id="56" w:name="_Toc15396613"/>
      <w:r>
        <w:rPr>
          <w:rFonts w:hint="eastAsia" w:ascii="Times New Roman" w:hAnsi="Times New Roman" w:eastAsia="方正小标宋简体" w:cs="方正小标宋简体"/>
          <w:b w:val="0"/>
          <w:color w:val="auto"/>
          <w:highlight w:val="none"/>
        </w:rPr>
        <w:br w:type="page"/>
      </w:r>
    </w:p>
    <w:p w14:paraId="2E44AEFC">
      <w:pPr>
        <w:pStyle w:val="3"/>
        <w:keepNext w:val="0"/>
        <w:keepLines w:val="0"/>
        <w:pageBreakBefore w:val="0"/>
        <w:widowControl w:val="0"/>
        <w:kinsoku/>
        <w:wordWrap/>
        <w:overflowPunct/>
        <w:topLinePunct w:val="0"/>
        <w:autoSpaceDN/>
        <w:bidi w:val="0"/>
        <w:adjustRightInd w:val="0"/>
        <w:snapToGrid w:val="0"/>
        <w:spacing w:before="0" w:after="0" w:line="580" w:lineRule="exact"/>
        <w:jc w:val="center"/>
        <w:textAlignment w:val="auto"/>
        <w:rPr>
          <w:rFonts w:hint="eastAsia" w:ascii="Times New Roman" w:hAnsi="Times New Roman" w:eastAsia="方正小标宋简体" w:cs="方正小标宋简体"/>
          <w:b w:val="0"/>
          <w:color w:val="auto"/>
          <w:highlight w:val="none"/>
        </w:rPr>
      </w:pPr>
      <w:bookmarkStart w:id="57" w:name="_Toc25964"/>
      <w:r>
        <w:rPr>
          <w:rFonts w:hint="eastAsia" w:ascii="Times New Roman" w:hAnsi="Times New Roman" w:eastAsia="方正小标宋简体" w:cs="方正小标宋简体"/>
          <w:b w:val="0"/>
          <w:color w:val="auto"/>
          <w:highlight w:val="none"/>
        </w:rPr>
        <w:t>第</w:t>
      </w:r>
      <w:r>
        <w:rPr>
          <w:rFonts w:hint="eastAsia" w:ascii="Times New Roman" w:hAnsi="Times New Roman" w:eastAsia="方正小标宋简体" w:cs="方正小标宋简体"/>
          <w:b w:val="0"/>
          <w:color w:val="auto"/>
          <w:highlight w:val="none"/>
          <w:lang w:eastAsia="zh-CN"/>
        </w:rPr>
        <w:t>三</w:t>
      </w:r>
      <w:r>
        <w:rPr>
          <w:rFonts w:hint="eastAsia" w:ascii="Times New Roman" w:hAnsi="Times New Roman" w:eastAsia="方正小标宋简体" w:cs="方正小标宋简体"/>
          <w:b w:val="0"/>
          <w:color w:val="auto"/>
          <w:highlight w:val="none"/>
        </w:rPr>
        <w:t>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名词解释</w:t>
      </w:r>
      <w:bookmarkEnd w:id="55"/>
      <w:bookmarkEnd w:id="56"/>
      <w:bookmarkEnd w:id="57"/>
    </w:p>
    <w:p w14:paraId="7F935E28">
      <w:pPr>
        <w:keepNext w:val="0"/>
        <w:pageBreakBefore w:val="0"/>
        <w:widowControl w:val="0"/>
        <w:kinsoku/>
        <w:wordWrap/>
        <w:overflowPunct/>
        <w:topLinePunct w:val="0"/>
        <w:autoSpaceDN/>
        <w:bidi w:val="0"/>
        <w:spacing w:line="600" w:lineRule="exact"/>
        <w:jc w:val="left"/>
        <w:rPr>
          <w:rFonts w:ascii="Times New Roman" w:hAnsi="Times New Roman" w:eastAsia="方正仿宋_GBK"/>
          <w:b/>
          <w:color w:val="auto"/>
          <w:sz w:val="44"/>
          <w:szCs w:val="44"/>
          <w:highlight w:val="none"/>
        </w:rPr>
      </w:pPr>
    </w:p>
    <w:p w14:paraId="5F346969">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1.财政拨款收入：指单位从同级财政部门取得的财政预算资金。</w:t>
      </w:r>
    </w:p>
    <w:p w14:paraId="2DD0C4D8">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37B31516">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7C86D0C0">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 xml:space="preserve">4.其他收入：指单位取得的除上述收入以外的各项收入。主要是……（收入类型）等。 </w:t>
      </w:r>
    </w:p>
    <w:p w14:paraId="7CE830A6">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451546D">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 xml:space="preserve">6.年初结转和结余：指以前年度尚未完成、结转到本年按有关规定继续使用的资金。 </w:t>
      </w:r>
    </w:p>
    <w:p w14:paraId="72E63C7E">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0BB1B8D1">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8.年末结转和结余：指单位按有关规定结转到下年或以后年度继续使用的资金。</w:t>
      </w:r>
    </w:p>
    <w:p w14:paraId="27CE9B87">
      <w:pPr>
        <w:keepNext w:val="0"/>
        <w:keepLines w:val="0"/>
        <w:pageBreakBefore w:val="0"/>
        <w:widowControl w:val="0"/>
        <w:suppressLineNumbers w:val="0"/>
        <w:kinsoku/>
        <w:wordWrap/>
        <w:overflowPunct/>
        <w:topLinePunct w:val="0"/>
        <w:autoSpaceDE w:val="0"/>
        <w:autoSpaceDN/>
        <w:bidi w:val="0"/>
        <w:spacing w:before="0" w:beforeAutospacing="0" w:after="0" w:afterAutospacing="0" w:line="578" w:lineRule="exact"/>
        <w:ind w:left="0" w:right="0" w:firstLine="640" w:firstLineChars="200"/>
        <w:jc w:val="both"/>
        <w:rPr>
          <w:rFonts w:ascii="Times New Roman" w:hAnsi="Times New Roman" w:eastAsia="方正仿宋_GBK" w:cs="仿宋"/>
          <w:color w:val="000000"/>
          <w:kern w:val="2"/>
          <w:sz w:val="32"/>
          <w:szCs w:val="32"/>
        </w:rPr>
      </w:pPr>
      <w:r>
        <w:rPr>
          <w:rFonts w:ascii="Times New Roman" w:hAnsi="Times New Roman" w:eastAsia="方正仿宋_GBK" w:cs="Times New Roman"/>
          <w:b w:val="0"/>
          <w:i w:val="0"/>
          <w:spacing w:val="0"/>
          <w:kern w:val="2"/>
          <w:sz w:val="32"/>
          <w:szCs w:val="32"/>
          <w:lang w:val="en-US" w:eastAsia="zh-CN"/>
        </w:rPr>
        <w:t>9.</w:t>
      </w:r>
      <w:r>
        <w:rPr>
          <w:rFonts w:hint="eastAsia" w:ascii="Times New Roman" w:hAnsi="Times New Roman" w:eastAsia="方正仿宋_GBK" w:cs="方正仿宋_GBK"/>
          <w:b w:val="0"/>
          <w:i w:val="0"/>
          <w:color w:val="000000"/>
          <w:spacing w:val="0"/>
          <w:kern w:val="2"/>
          <w:sz w:val="32"/>
          <w:szCs w:val="32"/>
          <w:lang w:val="en-US" w:eastAsia="zh-CN"/>
        </w:rPr>
        <w:t>一般公共服务支出（类）人大事务（款）一般行政管理事务（项）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0"/>
          <w:sz w:val="32"/>
          <w:szCs w:val="32"/>
          <w:lang w:val="en-US" w:eastAsia="zh-CN"/>
        </w:rPr>
        <w:t>指行政单位（包括实行公务员管理的事业单位）未单独设置项级科目的其他项目支出。</w:t>
      </w:r>
    </w:p>
    <w:p w14:paraId="0906A346">
      <w:pPr>
        <w:keepNext w:val="0"/>
        <w:keepLines w:val="0"/>
        <w:pageBreakBefore w:val="0"/>
        <w:widowControl w:val="0"/>
        <w:suppressLineNumbers w:val="0"/>
        <w:kinsoku/>
        <w:wordWrap/>
        <w:overflowPunct/>
        <w:topLinePunct w:val="0"/>
        <w:autoSpaceDE w:val="0"/>
        <w:autoSpaceDN/>
        <w:bidi w:val="0"/>
        <w:spacing w:before="0" w:beforeAutospacing="0" w:after="0" w:afterAutospacing="0" w:line="578" w:lineRule="exact"/>
        <w:ind w:left="0" w:right="0" w:firstLine="640" w:firstLineChars="200"/>
        <w:jc w:val="both"/>
        <w:rPr>
          <w:rFonts w:ascii="Times New Roman" w:hAnsi="Times New Roman" w:eastAsia="方正仿宋_GBK" w:cs="仿宋"/>
          <w:color w:val="000000"/>
          <w:kern w:val="2"/>
          <w:sz w:val="32"/>
          <w:szCs w:val="32"/>
        </w:rPr>
      </w:pPr>
      <w:r>
        <w:rPr>
          <w:rFonts w:ascii="Times New Roman" w:hAnsi="Times New Roman" w:eastAsia="方正仿宋_GBK" w:cs="Times New Roman"/>
          <w:b w:val="0"/>
          <w:i w:val="0"/>
          <w:spacing w:val="0"/>
          <w:kern w:val="2"/>
          <w:sz w:val="32"/>
          <w:szCs w:val="32"/>
          <w:lang w:val="en-US" w:eastAsia="zh-CN"/>
        </w:rPr>
        <w:t>10.</w:t>
      </w:r>
      <w:r>
        <w:rPr>
          <w:rFonts w:hint="eastAsia" w:ascii="Times New Roman" w:hAnsi="Times New Roman" w:eastAsia="方正仿宋_GBK" w:cs="方正仿宋_GBK"/>
          <w:b w:val="0"/>
          <w:i w:val="0"/>
          <w:color w:val="000000"/>
          <w:spacing w:val="0"/>
          <w:kern w:val="2"/>
          <w:sz w:val="32"/>
          <w:szCs w:val="32"/>
          <w:lang w:val="en-US" w:eastAsia="zh-CN"/>
        </w:rPr>
        <w:t>一般公共服务支出（类）宣传事务（款）行政运行（项）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指</w:t>
      </w:r>
      <w:r>
        <w:rPr>
          <w:rFonts w:ascii="Times New Roman" w:hAnsi="Times New Roman" w:eastAsia="方正仿宋_GBK" w:cs="仿宋"/>
          <w:color w:val="000000"/>
          <w:kern w:val="0"/>
          <w:sz w:val="32"/>
          <w:szCs w:val="32"/>
          <w:lang w:val="en-US" w:eastAsia="zh-CN"/>
        </w:rPr>
        <w:t>行政单位（包括实行公务员管理的事业单位）的基本支出</w:t>
      </w:r>
      <w:r>
        <w:rPr>
          <w:rFonts w:ascii="Times New Roman" w:hAnsi="Times New Roman" w:eastAsia="方正仿宋_GBK" w:cs="仿宋"/>
          <w:color w:val="000000"/>
          <w:kern w:val="2"/>
          <w:sz w:val="32"/>
          <w:szCs w:val="32"/>
          <w:lang w:val="en-US" w:eastAsia="zh-CN"/>
        </w:rPr>
        <w:t>。</w:t>
      </w:r>
    </w:p>
    <w:p w14:paraId="40DE0A8F">
      <w:pPr>
        <w:keepNext w:val="0"/>
        <w:keepLines w:val="0"/>
        <w:pageBreakBefore w:val="0"/>
        <w:widowControl w:val="0"/>
        <w:suppressLineNumbers w:val="0"/>
        <w:kinsoku/>
        <w:wordWrap/>
        <w:overflowPunct/>
        <w:topLinePunct w:val="0"/>
        <w:autoSpaceDE w:val="0"/>
        <w:autoSpaceDN/>
        <w:bidi w:val="0"/>
        <w:spacing w:before="0" w:beforeAutospacing="0" w:after="0" w:afterAutospacing="0" w:line="578" w:lineRule="exact"/>
        <w:ind w:left="0" w:right="0" w:firstLine="640" w:firstLineChars="200"/>
        <w:jc w:val="both"/>
        <w:rPr>
          <w:rFonts w:ascii="Times New Roman" w:hAnsi="Times New Roman" w:eastAsia="方正仿宋_GBK" w:cs="仿宋"/>
          <w:color w:val="000000"/>
          <w:kern w:val="0"/>
          <w:sz w:val="32"/>
          <w:szCs w:val="32"/>
        </w:rPr>
      </w:pPr>
      <w:r>
        <w:rPr>
          <w:rFonts w:ascii="Times New Roman" w:hAnsi="Times New Roman" w:eastAsia="方正仿宋_GBK" w:cs="Times New Roman"/>
          <w:b w:val="0"/>
          <w:i w:val="0"/>
          <w:spacing w:val="0"/>
          <w:kern w:val="2"/>
          <w:sz w:val="32"/>
          <w:szCs w:val="32"/>
          <w:lang w:val="en-US" w:eastAsia="zh-CN"/>
        </w:rPr>
        <w:t>11.</w:t>
      </w:r>
      <w:r>
        <w:rPr>
          <w:rFonts w:hint="eastAsia" w:ascii="Times New Roman" w:hAnsi="Times New Roman" w:eastAsia="方正仿宋_GBK" w:cs="方正仿宋_GBK"/>
          <w:b w:val="0"/>
          <w:i w:val="0"/>
          <w:color w:val="000000"/>
          <w:spacing w:val="0"/>
          <w:kern w:val="2"/>
          <w:sz w:val="32"/>
          <w:szCs w:val="32"/>
          <w:lang w:val="en-US" w:eastAsia="zh-CN"/>
        </w:rPr>
        <w:t>一般公共服务支出（类）宣传事务（款）一般行政管理事务（项）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0"/>
          <w:sz w:val="32"/>
          <w:szCs w:val="32"/>
          <w:lang w:val="en-US" w:eastAsia="zh-CN"/>
        </w:rPr>
        <w:t>指行政单位（包括实行公务员管理的事业单位）未单独设置项级科目的其他项目支出。</w:t>
      </w:r>
    </w:p>
    <w:p w14:paraId="26483F92">
      <w:pPr>
        <w:keepNext w:val="0"/>
        <w:keepLines w:val="0"/>
        <w:pageBreakBefore w:val="0"/>
        <w:widowControl w:val="0"/>
        <w:suppressLineNumbers w:val="0"/>
        <w:kinsoku/>
        <w:wordWrap/>
        <w:overflowPunct/>
        <w:topLinePunct w:val="0"/>
        <w:autoSpaceDE w:val="0"/>
        <w:autoSpaceDN/>
        <w:bidi w:val="0"/>
        <w:spacing w:before="0" w:beforeAutospacing="0" w:after="0" w:afterAutospacing="0" w:line="578" w:lineRule="exact"/>
        <w:ind w:left="0" w:right="0" w:firstLine="640" w:firstLineChars="200"/>
        <w:jc w:val="both"/>
        <w:rPr>
          <w:rFonts w:ascii="Times New Roman" w:hAnsi="Times New Roman" w:eastAsia="方正仿宋_GBK" w:cs="仿宋"/>
          <w:color w:val="000000"/>
          <w:kern w:val="2"/>
          <w:sz w:val="32"/>
          <w:szCs w:val="32"/>
          <w:lang w:val="en-US" w:eastAsia="zh-CN"/>
        </w:rPr>
      </w:pPr>
      <w:r>
        <w:rPr>
          <w:rFonts w:ascii="Times New Roman" w:hAnsi="Times New Roman" w:eastAsia="方正仿宋_GBK" w:cs="Times New Roman"/>
          <w:b w:val="0"/>
          <w:i w:val="0"/>
          <w:spacing w:val="0"/>
          <w:kern w:val="2"/>
          <w:sz w:val="32"/>
          <w:szCs w:val="32"/>
          <w:lang w:val="en-US" w:eastAsia="zh-CN"/>
        </w:rPr>
        <w:t>12.</w:t>
      </w:r>
      <w:r>
        <w:rPr>
          <w:rFonts w:hint="eastAsia" w:ascii="Times New Roman" w:hAnsi="Times New Roman" w:eastAsia="方正仿宋_GBK" w:cs="方正仿宋_GBK"/>
          <w:b w:val="0"/>
          <w:i w:val="0"/>
          <w:color w:val="000000"/>
          <w:spacing w:val="0"/>
          <w:kern w:val="2"/>
          <w:sz w:val="32"/>
          <w:szCs w:val="32"/>
          <w:lang w:val="en-US" w:eastAsia="zh-CN"/>
        </w:rPr>
        <w:t>一般公共服务支出（类）宣传事务（款）事业运行（项）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指</w:t>
      </w:r>
      <w:r>
        <w:rPr>
          <w:rFonts w:ascii="Times New Roman" w:hAnsi="Times New Roman" w:eastAsia="方正仿宋_GBK" w:cs="仿宋"/>
          <w:color w:val="000000"/>
          <w:kern w:val="0"/>
          <w:sz w:val="32"/>
          <w:szCs w:val="32"/>
          <w:lang w:val="en-US" w:eastAsia="zh-CN"/>
        </w:rPr>
        <w:t>行政单位（包括实行公务员管理的事业单位）的基本支出</w:t>
      </w:r>
      <w:r>
        <w:rPr>
          <w:rFonts w:ascii="Times New Roman" w:hAnsi="Times New Roman" w:eastAsia="方正仿宋_GBK" w:cs="仿宋"/>
          <w:color w:val="000000"/>
          <w:kern w:val="2"/>
          <w:sz w:val="32"/>
          <w:szCs w:val="32"/>
          <w:lang w:val="en-US" w:eastAsia="zh-CN"/>
        </w:rPr>
        <w:t>。</w:t>
      </w:r>
    </w:p>
    <w:p w14:paraId="602698BB">
      <w:pPr>
        <w:keepNext w:val="0"/>
        <w:pageBreakBefore w:val="0"/>
        <w:widowControl w:val="0"/>
        <w:kinsoku/>
        <w:wordWrap/>
        <w:overflowPunct/>
        <w:topLinePunct w:val="0"/>
        <w:autoSpaceDN/>
        <w:bidi w:val="0"/>
        <w:ind w:firstLine="640" w:firstLineChars="200"/>
        <w:rPr>
          <w:rFonts w:hint="eastAsia" w:ascii="Times New Roman" w:hAnsi="Times New Roman" w:eastAsia="方正仿宋_GBK" w:cs="仿宋"/>
          <w:color w:val="000000"/>
          <w:kern w:val="0"/>
          <w:sz w:val="32"/>
          <w:szCs w:val="32"/>
          <w:highlight w:val="none"/>
          <w:lang w:bidi="ar-SA"/>
        </w:rPr>
      </w:pPr>
      <w:r>
        <w:rPr>
          <w:rFonts w:hint="eastAsia" w:ascii="Times New Roman" w:hAnsi="Times New Roman" w:eastAsia="方正仿宋_GBK" w:cs="方正仿宋_GBK"/>
          <w:b w:val="0"/>
          <w:i w:val="0"/>
          <w:color w:val="000000"/>
          <w:spacing w:val="0"/>
          <w:w w:val="100"/>
          <w:sz w:val="32"/>
          <w:szCs w:val="32"/>
          <w:highlight w:val="none"/>
          <w:u w:val="none"/>
          <w:lang w:val="en-US" w:eastAsia="zh-CN"/>
        </w:rPr>
        <w:t>13.文化旅游体育与传媒支出（类）文化和旅游（款）文化活动（项）</w:t>
      </w:r>
      <w:r>
        <w:rPr>
          <w:rFonts w:hint="eastAsia" w:ascii="Times New Roman" w:hAnsi="Times New Roman" w:eastAsia="方正仿宋_GBK" w:cs="方正仿宋_GBK"/>
          <w:b w:val="0"/>
          <w:i w:val="0"/>
          <w:color w:val="auto"/>
          <w:spacing w:val="0"/>
          <w:w w:val="100"/>
          <w:sz w:val="32"/>
          <w:szCs w:val="32"/>
          <w:highlight w:val="none"/>
          <w:u w:val="none"/>
        </w:rPr>
        <w:t>：</w:t>
      </w:r>
      <w:r>
        <w:rPr>
          <w:rFonts w:hint="eastAsia" w:ascii="Times New Roman" w:hAnsi="Times New Roman" w:eastAsia="方正仿宋_GBK" w:cs="仿宋"/>
          <w:color w:val="000000"/>
          <w:kern w:val="0"/>
          <w:sz w:val="32"/>
          <w:szCs w:val="32"/>
          <w:highlight w:val="none"/>
          <w:lang w:bidi="ar-SA"/>
        </w:rPr>
        <w:t>指行政单位（包括实行公务员管理的事业单位）未单独设置项级科目的其他项目支出。</w:t>
      </w:r>
    </w:p>
    <w:p w14:paraId="3485FFB1">
      <w:pPr>
        <w:keepNext w:val="0"/>
        <w:pageBreakBefore w:val="0"/>
        <w:widowControl w:val="0"/>
        <w:kinsoku/>
        <w:wordWrap/>
        <w:overflowPunct/>
        <w:topLinePunct w:val="0"/>
        <w:autoSpaceDE/>
        <w:autoSpaceDN/>
        <w:bidi w:val="0"/>
        <w:spacing w:beforeAutospacing="0" w:afterAutospacing="0" w:line="578" w:lineRule="exact"/>
        <w:ind w:left="0" w:right="0" w:firstLine="640" w:firstLineChars="200"/>
        <w:jc w:val="both"/>
        <w:outlineLvl w:val="9"/>
        <w:rPr>
          <w:rFonts w:hint="eastAsia" w:ascii="Times New Roman" w:hAnsi="Times New Roman" w:eastAsia="方正仿宋_GBK" w:cs="方正仿宋_GBK"/>
          <w:b w:val="0"/>
          <w:i w:val="0"/>
          <w:color w:val="auto"/>
          <w:spacing w:val="0"/>
          <w:w w:val="100"/>
          <w:sz w:val="32"/>
          <w:szCs w:val="32"/>
          <w:highlight w:val="none"/>
          <w:u w:val="none"/>
          <w:lang w:val="en-US" w:eastAsia="zh-CN"/>
        </w:rPr>
      </w:pPr>
      <w:r>
        <w:rPr>
          <w:rFonts w:hint="eastAsia" w:ascii="Times New Roman" w:hAnsi="Times New Roman" w:eastAsia="方正仿宋_GBK" w:cs="方正仿宋_GBK"/>
          <w:b w:val="0"/>
          <w:i w:val="0"/>
          <w:color w:val="000000"/>
          <w:spacing w:val="0"/>
          <w:w w:val="100"/>
          <w:sz w:val="32"/>
          <w:szCs w:val="32"/>
          <w:highlight w:val="none"/>
          <w:u w:val="none"/>
          <w:lang w:val="en-US" w:eastAsia="zh-CN"/>
        </w:rPr>
        <w:t>14.文化旅游体育与传媒支出（类）文化和旅游（款）文化创作与保护（项）</w:t>
      </w:r>
      <w:r>
        <w:rPr>
          <w:rFonts w:hint="eastAsia" w:ascii="Times New Roman" w:hAnsi="Times New Roman" w:eastAsia="方正仿宋_GBK" w:cs="方正仿宋_GBK"/>
          <w:b w:val="0"/>
          <w:i w:val="0"/>
          <w:color w:val="auto"/>
          <w:spacing w:val="0"/>
          <w:w w:val="100"/>
          <w:sz w:val="32"/>
          <w:szCs w:val="32"/>
          <w:highlight w:val="none"/>
          <w:u w:val="none"/>
        </w:rPr>
        <w:t>：</w:t>
      </w:r>
      <w:r>
        <w:rPr>
          <w:rFonts w:hint="eastAsia" w:ascii="Times New Roman" w:hAnsi="Times New Roman" w:eastAsia="方正仿宋_GBK" w:cs="方正仿宋_GBK"/>
          <w:b w:val="0"/>
          <w:i w:val="0"/>
          <w:color w:val="auto"/>
          <w:spacing w:val="0"/>
          <w:w w:val="100"/>
          <w:sz w:val="32"/>
          <w:szCs w:val="32"/>
          <w:highlight w:val="none"/>
          <w:u w:val="none"/>
          <w:lang w:val="en-US" w:eastAsia="zh-CN"/>
        </w:rPr>
        <w:t>指鼓励文学、艺术创作和优秀传统文化保护方面的支出</w:t>
      </w:r>
    </w:p>
    <w:p w14:paraId="4023F7B8">
      <w:pPr>
        <w:keepNext w:val="0"/>
        <w:pageBreakBefore w:val="0"/>
        <w:widowControl w:val="0"/>
        <w:kinsoku/>
        <w:wordWrap/>
        <w:overflowPunct/>
        <w:topLinePunct w:val="0"/>
        <w:autoSpaceDE/>
        <w:autoSpaceDN/>
        <w:bidi w:val="0"/>
        <w:spacing w:beforeAutospacing="0" w:afterAutospacing="0" w:line="578" w:lineRule="exact"/>
        <w:ind w:left="0" w:right="0" w:firstLine="640" w:firstLineChars="200"/>
        <w:jc w:val="both"/>
        <w:outlineLvl w:val="9"/>
        <w:rPr>
          <w:rFonts w:ascii="Times New Roman" w:hAnsi="Times New Roman" w:eastAsia="方正仿宋_GBK"/>
          <w:lang w:val="en-US" w:eastAsia="zh-CN"/>
        </w:rPr>
      </w:pPr>
      <w:r>
        <w:rPr>
          <w:rFonts w:hint="eastAsia" w:ascii="Times New Roman" w:hAnsi="Times New Roman" w:eastAsia="方正仿宋_GBK" w:cs="仿宋_GB2312"/>
          <w:color w:val="auto"/>
          <w:kern w:val="2"/>
          <w:sz w:val="32"/>
          <w:szCs w:val="32"/>
          <w:highlight w:val="none"/>
          <w:lang w:val="en-US" w:eastAsia="zh-CN" w:bidi="ar-SA"/>
        </w:rPr>
        <w:t>15.文化旅游体育与传媒（类）文化和旅游（款）其他文化和旅游支出（项）：指文化和旅游款项中单列以外的其他用于文化和旅游方面的支出。</w:t>
      </w:r>
    </w:p>
    <w:p w14:paraId="5321674B">
      <w:pPr>
        <w:keepNext w:val="0"/>
        <w:pageBreakBefore w:val="0"/>
        <w:widowControl w:val="0"/>
        <w:kinsoku/>
        <w:wordWrap/>
        <w:overflowPunct/>
        <w:topLinePunct w:val="0"/>
        <w:autoSpaceDE/>
        <w:autoSpaceDN/>
        <w:bidi w:val="0"/>
        <w:spacing w:beforeAutospacing="0" w:afterAutospacing="0" w:line="578" w:lineRule="exact"/>
        <w:ind w:left="0" w:right="0" w:firstLine="640" w:firstLineChars="200"/>
        <w:jc w:val="both"/>
        <w:outlineLvl w:val="9"/>
        <w:rPr>
          <w:rFonts w:ascii="Times New Roman" w:hAnsi="Times New Roman" w:eastAsia="方正仿宋_GBK" w:cs="方正仿宋_GBK"/>
          <w:b w:val="0"/>
          <w:i w:val="0"/>
          <w:color w:val="auto"/>
          <w:spacing w:val="0"/>
          <w:w w:val="100"/>
          <w:sz w:val="32"/>
          <w:szCs w:val="32"/>
          <w:highlight w:val="none"/>
          <w:u w:val="none"/>
          <w:lang w:val="en-US" w:eastAsia="zh-CN"/>
        </w:rPr>
      </w:pPr>
      <w:r>
        <w:rPr>
          <w:rFonts w:hint="eastAsia" w:ascii="Times New Roman" w:hAnsi="Times New Roman" w:eastAsia="方正仿宋_GBK" w:cs="方正仿宋_GBK"/>
          <w:b w:val="0"/>
          <w:i w:val="0"/>
          <w:color w:val="auto"/>
          <w:spacing w:val="0"/>
          <w:w w:val="100"/>
          <w:sz w:val="32"/>
          <w:szCs w:val="32"/>
          <w:highlight w:val="none"/>
          <w:u w:val="none"/>
        </w:rPr>
        <w:t>1</w:t>
      </w:r>
      <w:r>
        <w:rPr>
          <w:rFonts w:hint="eastAsia" w:ascii="Times New Roman" w:hAnsi="Times New Roman" w:eastAsia="方正仿宋_GBK" w:cs="方正仿宋_GBK"/>
          <w:b w:val="0"/>
          <w:i w:val="0"/>
          <w:color w:val="auto"/>
          <w:spacing w:val="0"/>
          <w:w w:val="100"/>
          <w:sz w:val="32"/>
          <w:szCs w:val="32"/>
          <w:highlight w:val="none"/>
          <w:u w:val="none"/>
          <w:lang w:val="en-US" w:eastAsia="zh-CN"/>
        </w:rPr>
        <w:t>6.</w:t>
      </w:r>
      <w:r>
        <w:rPr>
          <w:rFonts w:hint="eastAsia" w:ascii="Times New Roman" w:hAnsi="Times New Roman" w:eastAsia="方正仿宋_GBK" w:cs="方正仿宋_GBK"/>
          <w:b w:val="0"/>
          <w:i w:val="0"/>
          <w:color w:val="000000"/>
          <w:spacing w:val="0"/>
          <w:w w:val="100"/>
          <w:sz w:val="32"/>
          <w:szCs w:val="32"/>
          <w:highlight w:val="none"/>
          <w:u w:val="none"/>
          <w:lang w:val="en-US" w:eastAsia="zh-CN"/>
        </w:rPr>
        <w:t>文化旅游体育与传媒支出（类）其他文化旅游体育与传媒支出（款）宣传文化发展专项支出（项）</w:t>
      </w:r>
      <w:r>
        <w:rPr>
          <w:rFonts w:hint="eastAsia" w:ascii="Times New Roman" w:hAnsi="Times New Roman" w:eastAsia="方正仿宋_GBK" w:cs="方正仿宋_GBK"/>
          <w:b w:val="0"/>
          <w:i w:val="0"/>
          <w:color w:val="auto"/>
          <w:spacing w:val="0"/>
          <w:w w:val="100"/>
          <w:sz w:val="32"/>
          <w:szCs w:val="32"/>
          <w:highlight w:val="none"/>
          <w:u w:val="none"/>
        </w:rPr>
        <w:t>：</w:t>
      </w:r>
      <w:r>
        <w:rPr>
          <w:rFonts w:hint="eastAsia" w:ascii="Times New Roman" w:hAnsi="Times New Roman" w:eastAsia="方正仿宋_GBK" w:cs="方正仿宋_GBK"/>
          <w:b w:val="0"/>
          <w:i w:val="0"/>
          <w:color w:val="auto"/>
          <w:spacing w:val="0"/>
          <w:w w:val="100"/>
          <w:sz w:val="32"/>
          <w:szCs w:val="32"/>
          <w:highlight w:val="none"/>
          <w:u w:val="none"/>
          <w:lang w:val="en-US" w:eastAsia="zh-CN"/>
        </w:rPr>
        <w:t>指按照国家有关政策支持宣传文化单位发展的专项支出。</w:t>
      </w:r>
    </w:p>
    <w:p w14:paraId="3C246669">
      <w:pPr>
        <w:pStyle w:val="13"/>
        <w:keepNext w:val="0"/>
        <w:pageBreakBefore w:val="0"/>
        <w:widowControl w:val="0"/>
        <w:kinsoku/>
        <w:wordWrap/>
        <w:overflowPunct/>
        <w:topLinePunct w:val="0"/>
        <w:autoSpaceDN/>
        <w:bidi w:val="0"/>
        <w:rPr>
          <w:rFonts w:hint="eastAsia" w:ascii="Times New Roman" w:hAnsi="Times New Roman" w:eastAsia="方正仿宋_GBK"/>
        </w:rPr>
      </w:pPr>
    </w:p>
    <w:p w14:paraId="4BE66735">
      <w:pPr>
        <w:keepNext w:val="0"/>
        <w:pageBreakBefore w:val="0"/>
        <w:widowControl w:val="0"/>
        <w:kinsoku/>
        <w:wordWrap/>
        <w:overflowPunct/>
        <w:topLinePunct w:val="0"/>
        <w:autoSpaceDN/>
        <w:bidi w:val="0"/>
        <w:ind w:firstLine="640" w:firstLineChars="200"/>
        <w:rPr>
          <w:rFonts w:ascii="Times New Roman" w:hAnsi="Times New Roman" w:eastAsia="方正仿宋_GBK" w:cs="仿宋"/>
          <w:color w:val="000000"/>
          <w:kern w:val="2"/>
          <w:sz w:val="32"/>
          <w:szCs w:val="32"/>
        </w:rPr>
      </w:pPr>
      <w:r>
        <w:rPr>
          <w:rFonts w:ascii="Times New Roman" w:hAnsi="Times New Roman" w:eastAsia="方正仿宋_GBK" w:cs="Times New Roman"/>
          <w:b w:val="0"/>
          <w:i w:val="0"/>
          <w:spacing w:val="0"/>
          <w:kern w:val="2"/>
          <w:sz w:val="32"/>
          <w:szCs w:val="32"/>
          <w:lang w:val="en-US" w:eastAsia="zh-CN"/>
        </w:rPr>
        <w:t>1</w:t>
      </w:r>
      <w:r>
        <w:rPr>
          <w:rFonts w:hint="eastAsia" w:ascii="Times New Roman" w:hAnsi="Times New Roman" w:eastAsia="方正仿宋_GBK" w:cs="Times New Roman"/>
          <w:b w:val="0"/>
          <w:i w:val="0"/>
          <w:spacing w:val="0"/>
          <w:kern w:val="2"/>
          <w:sz w:val="32"/>
          <w:szCs w:val="32"/>
          <w:lang w:val="en-US" w:eastAsia="zh-CN"/>
        </w:rPr>
        <w:t>7</w:t>
      </w:r>
      <w:r>
        <w:rPr>
          <w:rFonts w:ascii="Times New Roman" w:hAnsi="Times New Roman" w:eastAsia="方正仿宋_GBK" w:cs="Times New Roman"/>
          <w:b w:val="0"/>
          <w:i w:val="0"/>
          <w:spacing w:val="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社会保障和就业支出（类）行政事业单位养老支出（款）机关事业单位基本养老保险缴费支出（项）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指机关事业单位实施养老保险制度由单位缴纳的基本养老保险费支出。</w:t>
      </w:r>
    </w:p>
    <w:p w14:paraId="3A67D0EC">
      <w:pPr>
        <w:keepNext w:val="0"/>
        <w:keepLines w:val="0"/>
        <w:pageBreakBefore w:val="0"/>
        <w:widowControl w:val="0"/>
        <w:suppressLineNumbers w:val="0"/>
        <w:kinsoku/>
        <w:wordWrap/>
        <w:overflowPunct/>
        <w:topLinePunct w:val="0"/>
        <w:autoSpaceDN/>
        <w:bidi w:val="0"/>
        <w:spacing w:before="0" w:beforeAutospacing="0" w:after="0" w:afterAutospacing="0" w:line="600" w:lineRule="exact"/>
        <w:ind w:left="0" w:right="0" w:firstLine="640" w:firstLineChars="200"/>
        <w:jc w:val="both"/>
        <w:rPr>
          <w:rFonts w:ascii="Times New Roman" w:hAnsi="Times New Roman" w:eastAsia="方正仿宋_GBK" w:cs="仿宋"/>
          <w:color w:val="000000"/>
          <w:kern w:val="2"/>
          <w:sz w:val="32"/>
          <w:szCs w:val="32"/>
          <w:lang w:val="en-US" w:eastAsia="zh-CN"/>
        </w:rPr>
      </w:pPr>
      <w:r>
        <w:rPr>
          <w:rFonts w:ascii="Times New Roman" w:hAnsi="Times New Roman" w:eastAsia="方正仿宋_GBK" w:cs="Times New Roman"/>
          <w:b w:val="0"/>
          <w:i w:val="0"/>
          <w:spacing w:val="0"/>
          <w:kern w:val="2"/>
          <w:sz w:val="32"/>
          <w:szCs w:val="32"/>
          <w:lang w:val="en-US" w:eastAsia="zh-CN"/>
        </w:rPr>
        <w:t>1</w:t>
      </w:r>
      <w:r>
        <w:rPr>
          <w:rFonts w:hint="eastAsia" w:ascii="Times New Roman" w:hAnsi="Times New Roman" w:eastAsia="方正仿宋_GBK" w:cs="Times New Roman"/>
          <w:b w:val="0"/>
          <w:i w:val="0"/>
          <w:spacing w:val="0"/>
          <w:kern w:val="2"/>
          <w:sz w:val="32"/>
          <w:szCs w:val="32"/>
          <w:lang w:val="en-US" w:eastAsia="zh-CN"/>
        </w:rPr>
        <w:t>8</w:t>
      </w:r>
      <w:r>
        <w:rPr>
          <w:rFonts w:ascii="Times New Roman" w:hAnsi="Times New Roman" w:eastAsia="方正仿宋_GBK" w:cs="Times New Roman"/>
          <w:b w:val="0"/>
          <w:i w:val="0"/>
          <w:spacing w:val="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卫生健康支出（类）行政事业单位医疗（款）行政单位医疗（项）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反映财政部门集中安排的行政单位基本医疗保险缴费经费，未参加医疗保险的行政单位的公费医疗经费，按国家规定享受离休人员、红军老战士待遇人员的医疗经费。</w:t>
      </w:r>
    </w:p>
    <w:p w14:paraId="4D13399B">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19.卫生健康（类）行政事业单位医疗（款）事业单位医疗（项）：指财政部安排的事业单位基本医疗保险缴费经费，未参加医疗保险的事业单位的公费医疗经费，按国家规定享受离休人员待遇的医疗经费。</w:t>
      </w:r>
    </w:p>
    <w:p w14:paraId="35B5C0DD">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仿宋_GB2312"/>
          <w:kern w:val="2"/>
          <w:sz w:val="32"/>
          <w:szCs w:val="32"/>
          <w:lang w:val="en-US" w:eastAsia="zh-CN"/>
        </w:rPr>
      </w:pPr>
      <w:r>
        <w:rPr>
          <w:rFonts w:hint="eastAsia" w:ascii="Times New Roman" w:hAnsi="Times New Roman" w:eastAsia="方正仿宋_GBK" w:cs="仿宋_GB2312"/>
          <w:kern w:val="2"/>
          <w:sz w:val="32"/>
          <w:szCs w:val="32"/>
          <w:lang w:val="en-US" w:eastAsia="zh-CN"/>
        </w:rPr>
        <w:t>20.</w:t>
      </w:r>
      <w:r>
        <w:rPr>
          <w:rFonts w:ascii="Times New Roman" w:hAnsi="Times New Roman" w:eastAsia="方正仿宋_GBK" w:cs="仿宋_GB2312"/>
          <w:kern w:val="2"/>
          <w:sz w:val="32"/>
          <w:szCs w:val="32"/>
          <w:lang w:val="en-US" w:eastAsia="zh-CN"/>
        </w:rPr>
        <w:t>卫生健康（类）行政事业单位医疗（款）</w:t>
      </w:r>
      <w:r>
        <w:rPr>
          <w:rFonts w:hint="eastAsia" w:ascii="Times New Roman" w:hAnsi="Times New Roman" w:eastAsia="方正仿宋_GBK" w:cs="仿宋_GB2312"/>
          <w:kern w:val="2"/>
          <w:sz w:val="32"/>
          <w:szCs w:val="32"/>
          <w:lang w:val="en-US" w:eastAsia="zh-CN"/>
        </w:rPr>
        <w:t>其他</w:t>
      </w:r>
      <w:r>
        <w:rPr>
          <w:rFonts w:ascii="Times New Roman" w:hAnsi="Times New Roman" w:eastAsia="方正仿宋_GBK" w:cs="仿宋_GB2312"/>
          <w:kern w:val="2"/>
          <w:sz w:val="32"/>
          <w:szCs w:val="32"/>
          <w:lang w:val="en-US" w:eastAsia="zh-CN"/>
        </w:rPr>
        <w:t>行政</w:t>
      </w:r>
      <w:r>
        <w:rPr>
          <w:rFonts w:hint="eastAsia" w:ascii="Times New Roman" w:hAnsi="Times New Roman" w:eastAsia="方正仿宋_GBK" w:cs="仿宋_GB2312"/>
          <w:kern w:val="2"/>
          <w:sz w:val="32"/>
          <w:szCs w:val="32"/>
          <w:lang w:val="en-US" w:eastAsia="zh-CN"/>
        </w:rPr>
        <w:t>事业</w:t>
      </w:r>
      <w:r>
        <w:rPr>
          <w:rFonts w:ascii="Times New Roman" w:hAnsi="Times New Roman" w:eastAsia="方正仿宋_GBK" w:cs="仿宋_GB2312"/>
          <w:kern w:val="2"/>
          <w:sz w:val="32"/>
          <w:szCs w:val="32"/>
          <w:lang w:val="en-US" w:eastAsia="zh-CN"/>
        </w:rPr>
        <w:t>单位医疗</w:t>
      </w:r>
      <w:r>
        <w:rPr>
          <w:rFonts w:hint="eastAsia" w:ascii="Times New Roman" w:hAnsi="Times New Roman" w:eastAsia="方正仿宋_GBK" w:cs="仿宋_GB2312"/>
          <w:kern w:val="2"/>
          <w:sz w:val="32"/>
          <w:szCs w:val="32"/>
          <w:lang w:val="en-US" w:eastAsia="zh-CN"/>
        </w:rPr>
        <w:t>支出</w:t>
      </w:r>
      <w:r>
        <w:rPr>
          <w:rFonts w:ascii="Times New Roman" w:hAnsi="Times New Roman" w:eastAsia="方正仿宋_GBK" w:cs="仿宋_GB2312"/>
          <w:kern w:val="2"/>
          <w:sz w:val="32"/>
          <w:szCs w:val="32"/>
          <w:lang w:val="en-US" w:eastAsia="zh-CN"/>
        </w:rPr>
        <w:t>（项）：</w:t>
      </w:r>
      <w:r>
        <w:rPr>
          <w:rFonts w:hint="eastAsia" w:ascii="Times New Roman" w:hAnsi="Times New Roman" w:eastAsia="方正仿宋_GBK" w:cs="仿宋_GB2312"/>
          <w:kern w:val="2"/>
          <w:sz w:val="32"/>
          <w:szCs w:val="32"/>
          <w:lang w:val="en-US" w:eastAsia="zh-CN"/>
        </w:rPr>
        <w:t>指除行政单位医疗款项单列以外的其他用于行政事业单位医疗方面的支出。</w:t>
      </w:r>
    </w:p>
    <w:p w14:paraId="1DBB2B3C">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560" w:lineRule="exact"/>
        <w:ind w:left="0" w:right="0" w:firstLine="640" w:firstLineChars="200"/>
        <w:jc w:val="both"/>
        <w:textAlignment w:val="auto"/>
        <w:outlineLvl w:val="9"/>
        <w:rPr>
          <w:rFonts w:ascii="Times New Roman" w:hAnsi="Times New Roman" w:eastAsia="方正仿宋_GBK" w:cs="仿宋"/>
          <w:bCs/>
          <w:kern w:val="2"/>
          <w:sz w:val="32"/>
          <w:szCs w:val="32"/>
        </w:rPr>
      </w:pPr>
      <w:r>
        <w:rPr>
          <w:rFonts w:hint="eastAsia" w:ascii="Times New Roman" w:hAnsi="Times New Roman" w:eastAsia="方正仿宋_GBK" w:cs="仿宋_GB2312"/>
          <w:kern w:val="2"/>
          <w:sz w:val="32"/>
          <w:szCs w:val="32"/>
          <w:lang w:val="en-US" w:eastAsia="zh-CN"/>
        </w:rPr>
        <w:t>21.农林水</w:t>
      </w:r>
      <w:r>
        <w:rPr>
          <w:rFonts w:ascii="Times New Roman" w:hAnsi="Times New Roman" w:eastAsia="方正仿宋_GBK" w:cs="仿宋_GB2312"/>
          <w:kern w:val="2"/>
          <w:sz w:val="32"/>
          <w:szCs w:val="32"/>
          <w:lang w:val="en-US" w:eastAsia="zh-CN"/>
        </w:rPr>
        <w:t>（类）</w:t>
      </w:r>
      <w:r>
        <w:rPr>
          <w:rFonts w:hint="eastAsia" w:ascii="Times New Roman" w:hAnsi="Times New Roman" w:eastAsia="方正仿宋_GBK" w:cs="仿宋_GB2312"/>
          <w:kern w:val="2"/>
          <w:sz w:val="32"/>
          <w:szCs w:val="32"/>
          <w:lang w:val="en-US" w:eastAsia="zh-CN"/>
        </w:rPr>
        <w:t>农业农村</w:t>
      </w:r>
      <w:r>
        <w:rPr>
          <w:rFonts w:ascii="Times New Roman" w:hAnsi="Times New Roman" w:eastAsia="方正仿宋_GBK" w:cs="仿宋_GB2312"/>
          <w:kern w:val="2"/>
          <w:sz w:val="32"/>
          <w:szCs w:val="32"/>
          <w:lang w:val="en-US" w:eastAsia="zh-CN"/>
        </w:rPr>
        <w:t>（款）</w:t>
      </w:r>
      <w:r>
        <w:rPr>
          <w:rFonts w:hint="eastAsia" w:ascii="Times New Roman" w:hAnsi="Times New Roman" w:eastAsia="方正仿宋_GBK" w:cs="仿宋_GB2312"/>
          <w:kern w:val="2"/>
          <w:sz w:val="32"/>
          <w:szCs w:val="32"/>
          <w:lang w:val="en-US" w:eastAsia="zh-CN"/>
        </w:rPr>
        <w:t>其他农业农村支出</w:t>
      </w:r>
      <w:r>
        <w:rPr>
          <w:rFonts w:ascii="Times New Roman" w:hAnsi="Times New Roman" w:eastAsia="方正仿宋_GBK" w:cs="仿宋_GB2312"/>
          <w:kern w:val="2"/>
          <w:sz w:val="32"/>
          <w:szCs w:val="32"/>
          <w:lang w:val="en-US" w:eastAsia="zh-CN"/>
        </w:rPr>
        <w:t>（项）：</w:t>
      </w:r>
      <w:r>
        <w:rPr>
          <w:rFonts w:hint="eastAsia" w:ascii="Times New Roman" w:hAnsi="Times New Roman" w:eastAsia="方正仿宋_GBK" w:cs="仿宋_GB2312"/>
          <w:kern w:val="2"/>
          <w:sz w:val="32"/>
          <w:szCs w:val="32"/>
          <w:lang w:val="en-US" w:eastAsia="zh-CN"/>
        </w:rPr>
        <w:t>指农业农村款项单列以外的其他用于农业农村方面的支出。</w:t>
      </w:r>
      <w:r>
        <w:rPr>
          <w:rFonts w:ascii="Times New Roman" w:hAnsi="Times New Roman" w:eastAsia="方正仿宋_GBK" w:cs="仿宋"/>
          <w:color w:val="000000"/>
          <w:kern w:val="2"/>
          <w:sz w:val="32"/>
          <w:szCs w:val="32"/>
          <w:lang w:val="en-US" w:eastAsia="zh-CN"/>
        </w:rPr>
        <w:br w:type="textWrapping"/>
      </w:r>
      <w:r>
        <w:rPr>
          <w:rFonts w:ascii="Times New Roman" w:hAnsi="Times New Roman" w:eastAsia="方正仿宋_GBK" w:cs="仿宋"/>
          <w:color w:val="000000"/>
          <w:kern w:val="2"/>
          <w:sz w:val="32"/>
          <w:szCs w:val="32"/>
          <w:lang w:val="en-US" w:eastAsia="zh-CN"/>
        </w:rPr>
        <w:t xml:space="preserve"> </w:t>
      </w:r>
      <w:r>
        <w:rPr>
          <w:rFonts w:hint="eastAsia" w:ascii="Times New Roman" w:hAnsi="Times New Roman" w:eastAsia="方正仿宋_GBK" w:cs="仿宋"/>
          <w:color w:val="000000"/>
          <w:kern w:val="2"/>
          <w:sz w:val="32"/>
          <w:szCs w:val="32"/>
          <w:lang w:val="en-US" w:eastAsia="zh-CN"/>
        </w:rPr>
        <w:t xml:space="preserve"> </w:t>
      </w:r>
      <w:r>
        <w:rPr>
          <w:rFonts w:ascii="Times New Roman" w:hAnsi="Times New Roman" w:eastAsia="方正仿宋_GBK" w:cs="仿宋"/>
          <w:color w:val="000000"/>
          <w:kern w:val="2"/>
          <w:sz w:val="32"/>
          <w:szCs w:val="32"/>
          <w:lang w:val="en-US" w:eastAsia="zh-CN"/>
        </w:rPr>
        <w:t xml:space="preserve">  </w:t>
      </w:r>
      <w:r>
        <w:rPr>
          <w:rFonts w:hint="eastAsia" w:ascii="Times New Roman" w:hAnsi="Times New Roman" w:eastAsia="方正仿宋_GBK" w:cs="仿宋"/>
          <w:color w:val="000000"/>
          <w:kern w:val="2"/>
          <w:sz w:val="32"/>
          <w:szCs w:val="32"/>
          <w:lang w:val="en-US" w:eastAsia="zh-CN"/>
        </w:rPr>
        <w:t>22</w:t>
      </w:r>
      <w:r>
        <w:rPr>
          <w:rFonts w:ascii="Times New Roman" w:hAnsi="Times New Roman" w:eastAsia="方正仿宋_GBK" w:cs="仿宋"/>
          <w:color w:val="00000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卫生健康支出（类）行政事业单位医疗（款）公务员医疗补助（项）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反映财政部门集中安排的公务员医疗补助经费。</w:t>
      </w:r>
    </w:p>
    <w:p w14:paraId="77144C8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9"/>
        <w:rPr>
          <w:rFonts w:ascii="Times New Roman" w:hAnsi="Times New Roman" w:eastAsia="方正仿宋_GBK" w:cs="仿宋"/>
          <w:color w:val="000000"/>
          <w:kern w:val="2"/>
          <w:sz w:val="32"/>
          <w:szCs w:val="32"/>
          <w:lang w:val="en-US" w:eastAsia="zh-CN"/>
        </w:rPr>
      </w:pPr>
      <w:r>
        <w:rPr>
          <w:rFonts w:hint="eastAsia" w:ascii="Times New Roman" w:hAnsi="Times New Roman" w:eastAsia="方正仿宋_GBK" w:cs="Times New Roman"/>
          <w:b w:val="0"/>
          <w:i w:val="0"/>
          <w:spacing w:val="0"/>
          <w:kern w:val="2"/>
          <w:sz w:val="32"/>
          <w:szCs w:val="32"/>
          <w:lang w:val="en-US" w:eastAsia="zh-CN"/>
        </w:rPr>
        <w:t>23</w:t>
      </w:r>
      <w:r>
        <w:rPr>
          <w:rFonts w:ascii="Times New Roman" w:hAnsi="Times New Roman" w:eastAsia="方正仿宋_GBK" w:cs="Times New Roman"/>
          <w:b w:val="0"/>
          <w:i w:val="0"/>
          <w:spacing w:val="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住房保障支出（类）住房改革支出（款）住房公积金（项）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 xml:space="preserve"> 反映行政事业单位按人力资源和社会保障部、财政部规定的基本工资和津贴补贴以及规定比例为职工缴纳的住房公积金。</w:t>
      </w:r>
    </w:p>
    <w:p w14:paraId="5CF04A77">
      <w:pPr>
        <w:keepNext w:val="0"/>
        <w:keepLines w:val="0"/>
        <w:pageBreakBefore w:val="0"/>
        <w:widowControl w:val="0"/>
        <w:suppressLineNumbers w:val="0"/>
        <w:kinsoku/>
        <w:wordWrap/>
        <w:overflowPunct/>
        <w:topLinePunct w:val="0"/>
        <w:autoSpaceDE w:val="0"/>
        <w:autoSpaceDN/>
        <w:bidi w:val="0"/>
        <w:spacing w:before="0" w:beforeAutospacing="0" w:after="0" w:afterAutospacing="0" w:line="578" w:lineRule="exact"/>
        <w:ind w:left="0" w:right="0" w:firstLine="640" w:firstLineChars="200"/>
        <w:jc w:val="both"/>
        <w:rPr>
          <w:rFonts w:ascii="Times New Roman" w:hAnsi="Times New Roman" w:eastAsia="方正仿宋_GBK"/>
        </w:rPr>
      </w:pPr>
      <w:r>
        <w:rPr>
          <w:rFonts w:hint="eastAsia" w:ascii="Times New Roman" w:hAnsi="Times New Roman" w:eastAsia="方正仿宋_GBK" w:cs="仿宋_GB2312"/>
          <w:kern w:val="2"/>
          <w:sz w:val="32"/>
          <w:szCs w:val="32"/>
          <w:lang w:val="en-US" w:eastAsia="zh-CN"/>
        </w:rPr>
        <w:t>24.其他</w:t>
      </w:r>
      <w:r>
        <w:rPr>
          <w:rFonts w:ascii="Times New Roman" w:hAnsi="Times New Roman" w:eastAsia="方正仿宋_GBK" w:cs="仿宋_GB2312"/>
          <w:kern w:val="2"/>
          <w:sz w:val="32"/>
          <w:szCs w:val="32"/>
          <w:lang w:val="en-US" w:eastAsia="zh-CN"/>
        </w:rPr>
        <w:t>（类）</w:t>
      </w:r>
      <w:r>
        <w:rPr>
          <w:rFonts w:hint="eastAsia" w:ascii="Times New Roman" w:hAnsi="Times New Roman" w:eastAsia="方正仿宋_GBK" w:cs="仿宋_GB2312"/>
          <w:kern w:val="2"/>
          <w:sz w:val="32"/>
          <w:szCs w:val="32"/>
          <w:lang w:val="en-US" w:eastAsia="zh-CN"/>
        </w:rPr>
        <w:t>其他支出</w:t>
      </w:r>
      <w:r>
        <w:rPr>
          <w:rFonts w:ascii="Times New Roman" w:hAnsi="Times New Roman" w:eastAsia="方正仿宋_GBK" w:cs="仿宋_GB2312"/>
          <w:kern w:val="2"/>
          <w:sz w:val="32"/>
          <w:szCs w:val="32"/>
          <w:lang w:val="en-US" w:eastAsia="zh-CN"/>
        </w:rPr>
        <w:t>（款）</w:t>
      </w:r>
      <w:r>
        <w:rPr>
          <w:rFonts w:hint="eastAsia" w:ascii="Times New Roman" w:hAnsi="Times New Roman" w:eastAsia="方正仿宋_GBK" w:cs="仿宋_GB2312"/>
          <w:kern w:val="2"/>
          <w:sz w:val="32"/>
          <w:szCs w:val="32"/>
          <w:lang w:val="en-US" w:eastAsia="zh-CN"/>
        </w:rPr>
        <w:t>其他</w:t>
      </w:r>
      <w:r>
        <w:rPr>
          <w:rFonts w:ascii="Times New Roman" w:hAnsi="Times New Roman" w:eastAsia="方正仿宋_GBK" w:cs="仿宋_GB2312"/>
          <w:kern w:val="2"/>
          <w:sz w:val="32"/>
          <w:szCs w:val="32"/>
          <w:lang w:val="en-US" w:eastAsia="zh-CN"/>
        </w:rPr>
        <w:t>支出（项）：</w:t>
      </w:r>
      <w:r>
        <w:rPr>
          <w:rFonts w:hint="eastAsia" w:ascii="Times New Roman" w:hAnsi="Times New Roman" w:eastAsia="方正仿宋_GBK" w:cs="仿宋_GB2312"/>
          <w:kern w:val="2"/>
          <w:sz w:val="32"/>
          <w:szCs w:val="32"/>
          <w:lang w:val="en-US" w:eastAsia="zh-CN"/>
        </w:rPr>
        <w:t>指其他不能划分到具体功能科目中的支出。</w:t>
      </w:r>
    </w:p>
    <w:p w14:paraId="4956848A">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25.基本支出：指为保障机构正常运转、完成日常工作任务而发生的人员支出和公用支出。</w:t>
      </w:r>
    </w:p>
    <w:p w14:paraId="75D1F3BE">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 xml:space="preserve">26.项目支出：指在基本支出之外为完成特定行政任务和事业发展目标所发生的支出。 </w:t>
      </w:r>
    </w:p>
    <w:p w14:paraId="0B4292CD">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27.经营支出：指事业单位在专业业务活动及其辅助活动之外开展非独立核算经营活动发生的支出。</w:t>
      </w:r>
    </w:p>
    <w:p w14:paraId="153D831A">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FB4635B">
      <w:pPr>
        <w:keepNext w:val="0"/>
        <w:pageBreakBefore w:val="0"/>
        <w:widowControl w:val="0"/>
        <w:kinsoku/>
        <w:wordWrap/>
        <w:overflowPunct/>
        <w:topLinePunct w:val="0"/>
        <w:autoSpaceDN/>
        <w:bidi w:val="0"/>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2F5B2C3">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Times New Roman" w:hAnsi="Times New Roman" w:eastAsia="方正小标宋简体" w:cs="方正小标宋简体"/>
          <w:b w:val="0"/>
          <w:bCs/>
          <w:color w:val="auto"/>
          <w:kern w:val="44"/>
          <w:sz w:val="44"/>
          <w:szCs w:val="44"/>
          <w:highlight w:val="none"/>
          <w:lang w:val="en-US" w:eastAsia="zh-CN" w:bidi="ar-SA"/>
        </w:rPr>
      </w:pPr>
      <w:bookmarkStart w:id="58" w:name="_Toc15377226"/>
      <w:r>
        <w:rPr>
          <w:rFonts w:hint="eastAsia" w:ascii="Times New Roman" w:hAnsi="Times New Roman" w:eastAsia="方正仿宋_GBK" w:cs="仿宋_GB2312"/>
          <w:color w:val="auto"/>
          <w:kern w:val="2"/>
          <w:sz w:val="32"/>
          <w:szCs w:val="32"/>
          <w:highlight w:val="none"/>
          <w:lang w:val="en-US" w:eastAsia="zh-CN" w:bidi="ar-SA"/>
        </w:rPr>
        <w:br w:type="page"/>
      </w:r>
      <w:bookmarkStart w:id="59" w:name="_Toc15396614"/>
      <w:bookmarkStart w:id="60" w:name="_Toc28252"/>
      <w:bookmarkStart w:id="61" w:name="_GoBack"/>
      <w:bookmarkEnd w:id="61"/>
      <w:r>
        <w:rPr>
          <w:rFonts w:hint="eastAsia" w:ascii="Times New Roman" w:hAnsi="Times New Roman" w:eastAsia="方正小标宋简体" w:cs="方正小标宋简体"/>
          <w:b w:val="0"/>
          <w:bCs/>
          <w:color w:val="auto"/>
          <w:kern w:val="44"/>
          <w:sz w:val="44"/>
          <w:szCs w:val="44"/>
          <w:highlight w:val="none"/>
          <w:lang w:val="en-US" w:eastAsia="zh-CN" w:bidi="ar-SA"/>
        </w:rPr>
        <w:t>第四部分  附件</w:t>
      </w:r>
      <w:bookmarkEnd w:id="59"/>
      <w:bookmarkEnd w:id="60"/>
    </w:p>
    <w:p w14:paraId="7467D609">
      <w:pPr>
        <w:keepNext w:val="0"/>
        <w:keepLines w:val="0"/>
        <w:pageBreakBefore w:val="0"/>
        <w:widowControl w:val="0"/>
        <w:kinsoku/>
        <w:wordWrap/>
        <w:overflowPunct/>
        <w:topLinePunct w:val="0"/>
        <w:autoSpaceDE/>
        <w:autoSpaceDN/>
        <w:bidi w:val="0"/>
        <w:adjustRightInd/>
        <w:snapToGrid/>
        <w:spacing w:line="572" w:lineRule="exact"/>
        <w:jc w:val="left"/>
        <w:textAlignment w:val="auto"/>
        <w:outlineLvl w:val="9"/>
        <w:rPr>
          <w:rFonts w:hint="eastAsia" w:ascii="Times New Roman" w:hAnsi="Times New Roman" w:eastAsia="黑体" w:cs="黑体"/>
          <w:color w:val="FF0000"/>
          <w:sz w:val="32"/>
          <w:szCs w:val="32"/>
          <w:highlight w:val="none"/>
        </w:rPr>
      </w:pPr>
    </w:p>
    <w:p w14:paraId="0FE50812">
      <w:pPr>
        <w:keepNext w:val="0"/>
        <w:keepLines w:val="0"/>
        <w:pageBreakBefore w:val="0"/>
        <w:widowControl w:val="0"/>
        <w:kinsoku/>
        <w:wordWrap/>
        <w:overflowPunct/>
        <w:topLinePunct w:val="0"/>
        <w:autoSpaceDE/>
        <w:autoSpaceDN/>
        <w:bidi w:val="0"/>
        <w:adjustRightInd/>
        <w:snapToGrid/>
        <w:spacing w:line="572" w:lineRule="exact"/>
        <w:jc w:val="left"/>
        <w:textAlignment w:val="auto"/>
        <w:outlineLvl w:val="9"/>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4CCDD515">
      <w:pPr>
        <w:keepNext w:val="0"/>
        <w:keepLines w:val="0"/>
        <w:pageBreakBefore w:val="0"/>
        <w:widowControl/>
        <w:kinsoku/>
        <w:wordWrap/>
        <w:overflowPunct/>
        <w:topLinePunct w:val="0"/>
        <w:autoSpaceDE/>
        <w:autoSpaceDN/>
        <w:bidi w:val="0"/>
        <w:adjustRightInd/>
        <w:snapToGrid/>
        <w:spacing w:line="578" w:lineRule="exact"/>
        <w:contextualSpacing/>
        <w:jc w:val="center"/>
        <w:textAlignment w:val="auto"/>
        <w:outlineLvl w:val="9"/>
        <w:rPr>
          <w:rFonts w:ascii="Times New Roman" w:hAnsi="Times New Roman" w:eastAsia="方正小标宋简体" w:cs="Times New Roman"/>
          <w:b w:val="0"/>
          <w:bCs/>
          <w:sz w:val="44"/>
          <w:szCs w:val="44"/>
          <w:highlight w:val="none"/>
          <w:shd w:val="clear" w:color="auto" w:fill="FFFFFF"/>
        </w:rPr>
      </w:pPr>
    </w:p>
    <w:p w14:paraId="62076662">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Times New Roman" w:hAnsi="Times New Roman" w:eastAsia="方正小标宋简体"/>
          <w:color w:val="auto"/>
          <w:sz w:val="44"/>
          <w:szCs w:val="44"/>
          <w:shd w:val="clear" w:color="auto" w:fill="FFFFFF"/>
          <w:lang w:eastAsia="zh-CN"/>
        </w:rPr>
      </w:pPr>
      <w:r>
        <w:rPr>
          <w:rFonts w:hint="eastAsia" w:ascii="Times New Roman" w:hAnsi="Times New Roman" w:eastAsia="方正小标宋简体"/>
          <w:color w:val="auto"/>
          <w:sz w:val="44"/>
          <w:szCs w:val="44"/>
          <w:shd w:val="clear" w:color="auto" w:fill="FFFFFF"/>
          <w:lang w:val="en-US" w:eastAsia="zh-CN"/>
        </w:rPr>
        <w:t>中共巴中市委宣传部</w:t>
      </w:r>
    </w:p>
    <w:p w14:paraId="7CA9574B">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580" w:lineRule="exact"/>
        <w:ind w:left="0" w:right="0" w:firstLine="1320" w:firstLineChars="300"/>
        <w:jc w:val="both"/>
        <w:textAlignment w:val="auto"/>
        <w:rPr>
          <w:rFonts w:ascii="Times New Roman" w:hAnsi="Times New Roman"/>
        </w:rPr>
      </w:pPr>
      <w:r>
        <w:rPr>
          <w:rFonts w:hint="eastAsia" w:ascii="Times New Roman" w:hAnsi="Times New Roman" w:eastAsia="方正小标宋简体"/>
          <w:color w:val="auto"/>
          <w:sz w:val="44"/>
          <w:szCs w:val="44"/>
          <w:shd w:val="clear" w:color="auto" w:fill="FFFFFF"/>
          <w:lang w:val="en-US" w:eastAsia="zh-CN"/>
        </w:rPr>
        <w:t>2025年度部门</w:t>
      </w:r>
      <w:r>
        <w:rPr>
          <w:rFonts w:hint="eastAsia" w:ascii="Times New Roman" w:hAnsi="Times New Roman" w:eastAsia="方正小标宋简体" w:cs="方正小标宋简体"/>
          <w:bCs/>
          <w:kern w:val="2"/>
          <w:sz w:val="44"/>
          <w:szCs w:val="44"/>
          <w:shd w:val="clear" w:color="auto" w:fill="FFFFFF"/>
          <w:lang w:val="en-US" w:eastAsia="zh-CN"/>
        </w:rPr>
        <w:t>预算绩效自评报告</w:t>
      </w:r>
    </w:p>
    <w:p w14:paraId="1DEE7017">
      <w:pPr>
        <w:pStyle w:val="32"/>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color w:val="auto"/>
          <w:kern w:val="0"/>
          <w:sz w:val="32"/>
          <w:szCs w:val="32"/>
          <w:lang w:val="zh-CN" w:eastAsia="zh-CN" w:bidi="ar-SA"/>
        </w:rPr>
      </w:pPr>
    </w:p>
    <w:p w14:paraId="008B3EEB">
      <w:pPr>
        <w:pStyle w:val="32"/>
        <w:keepNext w:val="0"/>
        <w:keepLines w:val="0"/>
        <w:pageBreakBefore w:val="0"/>
        <w:widowControl w:val="0"/>
        <w:kinsoku/>
        <w:wordWrap/>
        <w:overflowPunct/>
        <w:topLinePunct w:val="0"/>
        <w:autoSpaceDE/>
        <w:autoSpaceDN/>
        <w:bidi w:val="0"/>
        <w:adjustRightInd w:val="0"/>
        <w:snapToGrid w:val="0"/>
        <w:spacing w:line="580" w:lineRule="exact"/>
        <w:jc w:val="both"/>
        <w:textAlignment w:val="auto"/>
        <w:rPr>
          <w:rFonts w:hint="eastAsia" w:ascii="Times New Roman" w:hAnsi="Times New Roman" w:eastAsia="方正仿宋_GBK" w:cs="方正仿宋_GBK"/>
          <w:snapToGrid w:val="0"/>
          <w:color w:val="auto"/>
          <w:kern w:val="0"/>
          <w:sz w:val="32"/>
          <w:szCs w:val="32"/>
          <w:lang w:val="zh-CN" w:eastAsia="zh-CN" w:bidi="ar-SA"/>
        </w:rPr>
      </w:pPr>
      <w:r>
        <w:rPr>
          <w:rFonts w:hint="eastAsia" w:ascii="Times New Roman" w:hAnsi="Times New Roman" w:eastAsia="方正仿宋_GBK" w:cs="方正仿宋_GBK"/>
          <w:snapToGrid w:val="0"/>
          <w:color w:val="auto"/>
          <w:kern w:val="0"/>
          <w:sz w:val="32"/>
          <w:szCs w:val="32"/>
          <w:lang w:val="zh-CN" w:eastAsia="zh-CN" w:bidi="ar-SA"/>
        </w:rPr>
        <w:t>市财政局：</w:t>
      </w:r>
    </w:p>
    <w:p w14:paraId="08C02EFC">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zh-CN" w:eastAsia="zh-CN"/>
        </w:rPr>
      </w:pPr>
      <w:r>
        <w:rPr>
          <w:rFonts w:hint="eastAsia" w:ascii="Times New Roman" w:hAnsi="Times New Roman" w:eastAsia="方正仿宋_GBK" w:cs="方正仿宋_GBK"/>
          <w:snapToGrid w:val="0"/>
          <w:color w:val="auto"/>
          <w:kern w:val="0"/>
          <w:sz w:val="32"/>
          <w:szCs w:val="32"/>
          <w:lang w:val="zh-CN" w:eastAsia="zh-CN" w:bidi="ar-SA"/>
        </w:rPr>
        <w:t>按照《关于</w:t>
      </w:r>
      <w:r>
        <w:rPr>
          <w:rFonts w:hint="eastAsia" w:ascii="Times New Roman" w:hAnsi="Times New Roman" w:eastAsia="方正仿宋_GBK" w:cs="方正仿宋_GBK"/>
          <w:snapToGrid w:val="0"/>
          <w:kern w:val="0"/>
          <w:sz w:val="32"/>
          <w:szCs w:val="32"/>
          <w:lang w:val="zh-CN" w:eastAsia="zh-CN"/>
        </w:rPr>
        <w:t>开展</w:t>
      </w:r>
      <w:r>
        <w:rPr>
          <w:rFonts w:hint="eastAsia" w:ascii="Times New Roman" w:hAnsi="Times New Roman" w:eastAsia="方正仿宋_GBK" w:cs="方正仿宋_GBK"/>
          <w:snapToGrid w:val="0"/>
          <w:kern w:val="0"/>
          <w:sz w:val="32"/>
          <w:szCs w:val="32"/>
          <w:lang w:val="en-US" w:eastAsia="zh-CN"/>
        </w:rPr>
        <w:t>2025年度</w:t>
      </w:r>
      <w:r>
        <w:rPr>
          <w:rFonts w:hint="eastAsia" w:ascii="Times New Roman" w:hAnsi="Times New Roman" w:eastAsia="方正仿宋_GBK" w:cs="方正仿宋_GBK"/>
          <w:snapToGrid w:val="0"/>
          <w:kern w:val="0"/>
          <w:sz w:val="32"/>
          <w:szCs w:val="32"/>
          <w:lang w:val="zh-CN" w:eastAsia="zh-CN"/>
        </w:rPr>
        <w:t>市级财政支出绩效自评工作的通知》（巴财监绩〔20</w:t>
      </w:r>
      <w:r>
        <w:rPr>
          <w:rFonts w:hint="eastAsia" w:ascii="Times New Roman" w:hAnsi="Times New Roman" w:eastAsia="方正仿宋_GBK" w:cs="方正仿宋_GBK"/>
          <w:snapToGrid w:val="0"/>
          <w:kern w:val="0"/>
          <w:sz w:val="32"/>
          <w:szCs w:val="32"/>
          <w:lang w:val="en-US" w:eastAsia="zh-CN"/>
        </w:rPr>
        <w:t>26</w:t>
      </w:r>
      <w:r>
        <w:rPr>
          <w:rFonts w:hint="eastAsia" w:ascii="Times New Roman" w:hAnsi="Times New Roman" w:eastAsia="方正仿宋_GBK" w:cs="方正仿宋_GBK"/>
          <w:snapToGrid w:val="0"/>
          <w:kern w:val="0"/>
          <w:sz w:val="32"/>
          <w:szCs w:val="32"/>
          <w:lang w:val="zh-CN" w:eastAsia="zh-CN"/>
        </w:rPr>
        <w:t>〕</w:t>
      </w:r>
      <w:r>
        <w:rPr>
          <w:rFonts w:hint="eastAsia" w:ascii="Times New Roman" w:hAnsi="Times New Roman" w:eastAsia="方正仿宋_GBK" w:cs="方正仿宋_GBK"/>
          <w:snapToGrid w:val="0"/>
          <w:kern w:val="0"/>
          <w:sz w:val="32"/>
          <w:szCs w:val="32"/>
          <w:lang w:val="en-US" w:eastAsia="zh-CN"/>
        </w:rPr>
        <w:t>3</w:t>
      </w:r>
      <w:r>
        <w:rPr>
          <w:rFonts w:hint="eastAsia" w:ascii="Times New Roman" w:hAnsi="Times New Roman" w:eastAsia="方正仿宋_GBK" w:cs="方正仿宋_GBK"/>
          <w:snapToGrid w:val="0"/>
          <w:kern w:val="0"/>
          <w:sz w:val="32"/>
          <w:szCs w:val="32"/>
          <w:lang w:val="zh-CN" w:eastAsia="zh-CN"/>
        </w:rPr>
        <w:t>号）要求，我部高度重视、精心组织，认真做好绩效自评工作，客观真实反映</w:t>
      </w:r>
      <w:r>
        <w:rPr>
          <w:rFonts w:hint="eastAsia" w:ascii="Times New Roman" w:hAnsi="Times New Roman" w:eastAsia="方正仿宋_GBK" w:cs="方正仿宋_GBK"/>
          <w:snapToGrid w:val="0"/>
          <w:kern w:val="0"/>
          <w:sz w:val="32"/>
          <w:szCs w:val="32"/>
          <w:lang w:val="en-US" w:eastAsia="zh-CN"/>
        </w:rPr>
        <w:t>2025年度部门预算运行情况。现将有关</w:t>
      </w:r>
      <w:r>
        <w:rPr>
          <w:rFonts w:hint="eastAsia" w:ascii="Times New Roman" w:hAnsi="Times New Roman" w:eastAsia="方正仿宋_GBK" w:cs="方正仿宋_GBK"/>
          <w:snapToGrid w:val="0"/>
          <w:kern w:val="0"/>
          <w:sz w:val="32"/>
          <w:szCs w:val="32"/>
          <w:lang w:val="zh-CN" w:eastAsia="zh-CN"/>
        </w:rPr>
        <w:t>情况报告如下。</w:t>
      </w:r>
    </w:p>
    <w:p w14:paraId="34020C82">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黑体_GBK" w:cs="方正黑体_GBK"/>
          <w:snapToGrid w:val="0"/>
          <w:color w:val="auto"/>
          <w:kern w:val="0"/>
          <w:sz w:val="32"/>
          <w:szCs w:val="32"/>
          <w:shd w:val="clear" w:color="auto" w:fill="FFFFFF"/>
          <w:lang w:val="zh-CN"/>
        </w:rPr>
      </w:pPr>
      <w:r>
        <w:rPr>
          <w:rFonts w:hint="eastAsia" w:ascii="Times New Roman" w:hAnsi="Times New Roman" w:eastAsia="方正黑体_GBK" w:cs="方正黑体_GBK"/>
          <w:snapToGrid w:val="0"/>
          <w:color w:val="auto"/>
          <w:kern w:val="0"/>
          <w:sz w:val="32"/>
          <w:szCs w:val="32"/>
          <w:shd w:val="clear" w:color="auto" w:fill="FFFFFF"/>
        </w:rPr>
        <w:t>一、</w:t>
      </w:r>
      <w:r>
        <w:rPr>
          <w:rFonts w:hint="eastAsia" w:ascii="Times New Roman" w:hAnsi="Times New Roman" w:eastAsia="方正黑体_GBK" w:cs="方正黑体_GBK"/>
          <w:snapToGrid w:val="0"/>
          <w:color w:val="auto"/>
          <w:kern w:val="0"/>
          <w:sz w:val="32"/>
          <w:szCs w:val="32"/>
          <w:shd w:val="clear" w:color="auto" w:fill="FFFFFF"/>
          <w:lang w:val="zh-CN"/>
        </w:rPr>
        <w:t>部门基本情况</w:t>
      </w:r>
    </w:p>
    <w:p w14:paraId="0F2FB171">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ascii="Times New Roman" w:hAnsi="Times New Roman" w:eastAsia="方正仿宋_GBK" w:cs="方正仿宋_GBK"/>
          <w:snapToGrid w:val="0"/>
          <w:kern w:val="0"/>
          <w:sz w:val="32"/>
          <w:szCs w:val="32"/>
          <w:lang w:val="en-US" w:eastAsia="zh-CN"/>
        </w:rPr>
      </w:pPr>
      <w:r>
        <w:rPr>
          <w:rFonts w:hint="eastAsia" w:ascii="Times New Roman" w:hAnsi="Times New Roman" w:eastAsia="方正楷体_GBK" w:cs="方正楷体_GBK"/>
          <w:b w:val="0"/>
          <w:bCs w:val="0"/>
          <w:snapToGrid w:val="0"/>
          <w:color w:val="auto"/>
          <w:kern w:val="0"/>
          <w:sz w:val="32"/>
          <w:szCs w:val="32"/>
          <w:shd w:val="clear" w:color="auto" w:fill="FFFFFF"/>
          <w:lang w:val="zh-CN"/>
        </w:rPr>
        <w:t>（一）机构组成。</w:t>
      </w:r>
      <w:r>
        <w:rPr>
          <w:rFonts w:hint="eastAsia" w:ascii="Times New Roman" w:hAnsi="Times New Roman" w:eastAsia="方正仿宋_GBK" w:cs="方正仿宋_GBK"/>
          <w:snapToGrid w:val="0"/>
          <w:kern w:val="0"/>
          <w:sz w:val="32"/>
          <w:szCs w:val="32"/>
          <w:lang w:val="zh-CN" w:eastAsia="zh-CN"/>
        </w:rPr>
        <w:t>市委宣传部共有</w:t>
      </w:r>
      <w:r>
        <w:rPr>
          <w:rFonts w:hint="eastAsia" w:ascii="Times New Roman" w:hAnsi="Times New Roman" w:eastAsia="方正仿宋_GBK" w:cs="方正仿宋_GBK"/>
          <w:snapToGrid w:val="0"/>
          <w:kern w:val="0"/>
          <w:sz w:val="32"/>
          <w:szCs w:val="32"/>
          <w:lang w:val="en-US" w:eastAsia="zh-CN"/>
        </w:rPr>
        <w:t>5个二级预算单位。其中行政单位2个：市委宣传部机关、市委网信办；参照公务员法管理事业单位3个：市社科联、市文联、市作协。</w:t>
      </w:r>
    </w:p>
    <w:p w14:paraId="0F18B4CD">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楷体_GBK" w:cs="方正楷体_GBK"/>
          <w:b w:val="0"/>
          <w:bCs w:val="0"/>
          <w:snapToGrid w:val="0"/>
          <w:color w:val="auto"/>
          <w:kern w:val="0"/>
          <w:sz w:val="32"/>
          <w:szCs w:val="32"/>
          <w:shd w:val="clear" w:color="auto" w:fill="FFFFFF"/>
          <w:lang w:val="zh-CN"/>
        </w:rPr>
      </w:pPr>
      <w:r>
        <w:rPr>
          <w:rFonts w:hint="eastAsia" w:ascii="Times New Roman" w:hAnsi="Times New Roman" w:eastAsia="方正楷体_GBK" w:cs="方正楷体_GBK"/>
          <w:b w:val="0"/>
          <w:bCs w:val="0"/>
          <w:snapToGrid w:val="0"/>
          <w:color w:val="auto"/>
          <w:kern w:val="0"/>
          <w:sz w:val="32"/>
          <w:szCs w:val="32"/>
          <w:shd w:val="clear" w:color="auto" w:fill="FFFFFF"/>
          <w:lang w:val="zh-CN"/>
        </w:rPr>
        <w:t>（二）机构职能。</w:t>
      </w:r>
      <w:r>
        <w:rPr>
          <w:rFonts w:hint="eastAsia" w:ascii="Times New Roman" w:hAnsi="Times New Roman" w:eastAsia="方正仿宋_GBK" w:cs="方正仿宋_GBK"/>
          <w:snapToGrid w:val="0"/>
          <w:kern w:val="0"/>
          <w:sz w:val="32"/>
          <w:szCs w:val="32"/>
          <w:lang w:val="en-US" w:eastAsia="zh-CN"/>
        </w:rPr>
        <w:t>中共巴中市委宣传部是市委主管意识形态方面工作的职能部门。</w:t>
      </w:r>
    </w:p>
    <w:p w14:paraId="2E163AC2">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en-US" w:eastAsia="zh-CN" w:bidi="ar-SA"/>
        </w:rPr>
      </w:pPr>
      <w:r>
        <w:rPr>
          <w:rFonts w:hint="eastAsia" w:ascii="Times New Roman" w:hAnsi="Times New Roman" w:eastAsia="方正楷体_GBK" w:cs="方正楷体_GBK"/>
          <w:b w:val="0"/>
          <w:bCs w:val="0"/>
          <w:snapToGrid w:val="0"/>
          <w:color w:val="auto"/>
          <w:kern w:val="0"/>
          <w:sz w:val="32"/>
          <w:szCs w:val="32"/>
          <w:shd w:val="clear" w:color="auto" w:fill="FFFFFF"/>
          <w:lang w:val="zh-CN"/>
        </w:rPr>
        <w:t>（三）人员概况。</w:t>
      </w:r>
      <w:r>
        <w:rPr>
          <w:rFonts w:hint="eastAsia" w:ascii="Times New Roman" w:hAnsi="Times New Roman" w:eastAsia="方正仿宋_GBK" w:cs="方正仿宋_GBK"/>
          <w:snapToGrid w:val="0"/>
          <w:kern w:val="0"/>
          <w:sz w:val="32"/>
          <w:szCs w:val="32"/>
          <w:lang w:val="en-US" w:eastAsia="zh-CN" w:bidi="ar-SA"/>
        </w:rPr>
        <w:t>截止2025年12月31日，市委宣传部在职实有人数77人，其中市委宣传部机关44人，市委网信办18人，市社科联5人，市文联5人，市作协5人。退休人员共计15人。</w:t>
      </w:r>
    </w:p>
    <w:p w14:paraId="6EC981F4">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黑体_GBK" w:cs="方正黑体_GBK"/>
          <w:snapToGrid w:val="0"/>
          <w:color w:val="auto"/>
          <w:kern w:val="0"/>
          <w:sz w:val="32"/>
          <w:szCs w:val="32"/>
          <w:shd w:val="clear" w:color="auto" w:fill="FFFFFF"/>
        </w:rPr>
      </w:pPr>
      <w:r>
        <w:rPr>
          <w:rFonts w:hint="eastAsia" w:ascii="Times New Roman" w:hAnsi="Times New Roman" w:eastAsia="方正黑体_GBK" w:cs="方正黑体_GBK"/>
          <w:snapToGrid w:val="0"/>
          <w:color w:val="auto"/>
          <w:kern w:val="0"/>
          <w:sz w:val="32"/>
          <w:szCs w:val="32"/>
          <w:shd w:val="clear" w:color="auto" w:fill="FFFFFF"/>
        </w:rPr>
        <w:t>二、部门资金收支情况</w:t>
      </w:r>
    </w:p>
    <w:p w14:paraId="2A101247">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ascii="Times New Roman" w:hAnsi="Times New Roman" w:eastAsia="方正仿宋_GBK" w:cs="方正仿宋_GBK"/>
          <w:snapToGrid w:val="0"/>
          <w:kern w:val="0"/>
          <w:sz w:val="32"/>
          <w:szCs w:val="32"/>
          <w:lang w:val="en-US" w:eastAsia="zh-CN"/>
        </w:rPr>
      </w:pPr>
      <w:r>
        <w:rPr>
          <w:rFonts w:hint="eastAsia" w:ascii="Times New Roman" w:hAnsi="Times New Roman" w:eastAsia="方正楷体_GBK" w:cs="方正楷体_GBK"/>
          <w:b w:val="0"/>
          <w:bCs w:val="0"/>
          <w:snapToGrid w:val="0"/>
          <w:color w:val="auto"/>
          <w:kern w:val="0"/>
          <w:sz w:val="32"/>
          <w:szCs w:val="32"/>
          <w:shd w:val="clear" w:color="auto" w:fill="FFFFFF"/>
          <w:lang w:val="zh-CN"/>
        </w:rPr>
        <w:t>（一）收入情况。</w:t>
      </w:r>
      <w:r>
        <w:rPr>
          <w:rFonts w:hint="eastAsia" w:ascii="Times New Roman" w:hAnsi="Times New Roman" w:eastAsia="方正仿宋_GBK" w:cs="方正仿宋_GBK"/>
          <w:snapToGrid w:val="0"/>
          <w:kern w:val="0"/>
          <w:sz w:val="32"/>
          <w:szCs w:val="32"/>
          <w:lang w:val="en-US" w:eastAsia="zh-CN"/>
        </w:rPr>
        <w:t>市委宣传部2025年年初部门预算收入总额2731.04万元，部门决算收入总额3298.85万元，其中：</w:t>
      </w:r>
      <w:r>
        <w:rPr>
          <w:rFonts w:hint="eastAsia" w:ascii="Times New Roman" w:hAnsi="Times New Roman" w:eastAsia="方正仿宋_GBK" w:cs="方正仿宋_GBK"/>
          <w:snapToGrid w:val="0"/>
          <w:kern w:val="0"/>
          <w:sz w:val="32"/>
          <w:szCs w:val="32"/>
          <w:lang w:val="en-US" w:eastAsia="zh-CN" w:bidi="ar-SA"/>
        </w:rPr>
        <w:t>市委宣传部机关2231.23万元，市委网信办242.82万元，市社科联253.73万元，市文联332.92万元，市作协238.15万元。</w:t>
      </w:r>
    </w:p>
    <w:p w14:paraId="0CC2FB63">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highlight w:val="none"/>
          <w:lang w:val="en-US" w:eastAsia="zh-CN"/>
        </w:rPr>
      </w:pPr>
      <w:r>
        <w:rPr>
          <w:rFonts w:hint="eastAsia" w:ascii="Times New Roman" w:hAnsi="Times New Roman" w:eastAsia="方正楷体_GBK" w:cs="方正楷体_GBK"/>
          <w:b w:val="0"/>
          <w:bCs w:val="0"/>
          <w:snapToGrid w:val="0"/>
          <w:color w:val="auto"/>
          <w:kern w:val="0"/>
          <w:sz w:val="32"/>
          <w:szCs w:val="32"/>
          <w:shd w:val="clear" w:color="auto" w:fill="FFFFFF"/>
          <w:lang w:val="zh-CN"/>
        </w:rPr>
        <w:t>（二）支出情况。</w:t>
      </w:r>
      <w:r>
        <w:rPr>
          <w:rFonts w:hint="eastAsia" w:ascii="Times New Roman" w:hAnsi="Times New Roman" w:eastAsia="方正仿宋_GBK" w:cs="方正仿宋_GBK"/>
          <w:snapToGrid w:val="0"/>
          <w:kern w:val="0"/>
          <w:sz w:val="32"/>
          <w:szCs w:val="32"/>
          <w:lang w:val="en-US" w:eastAsia="zh-CN"/>
        </w:rPr>
        <w:t>市委宣传部2025年年初部门预算支出总额2731.04万元，部门决算支出总额3298.85万元。支出决算数中：</w:t>
      </w:r>
      <w:r>
        <w:rPr>
          <w:rFonts w:hint="eastAsia" w:ascii="Times New Roman" w:hAnsi="Times New Roman" w:eastAsia="方正仿宋_GBK" w:cs="方正仿宋_GBK"/>
          <w:snapToGrid w:val="0"/>
          <w:kern w:val="0"/>
          <w:sz w:val="32"/>
          <w:szCs w:val="32"/>
          <w:lang w:val="zh-CN" w:eastAsia="zh-CN"/>
        </w:rPr>
        <w:t>基本支出</w:t>
      </w:r>
      <w:r>
        <w:rPr>
          <w:rFonts w:hint="eastAsia" w:ascii="Times New Roman" w:hAnsi="Times New Roman" w:eastAsia="方正仿宋_GBK" w:cs="方正仿宋_GBK"/>
          <w:snapToGrid w:val="0"/>
          <w:kern w:val="0"/>
          <w:sz w:val="32"/>
          <w:szCs w:val="32"/>
          <w:lang w:val="en-US" w:eastAsia="zh-CN"/>
        </w:rPr>
        <w:t>1739.05</w:t>
      </w:r>
      <w:r>
        <w:rPr>
          <w:rFonts w:hint="eastAsia" w:ascii="Times New Roman" w:hAnsi="Times New Roman" w:eastAsia="方正仿宋_GBK" w:cs="方正仿宋_GBK"/>
          <w:snapToGrid w:val="0"/>
          <w:kern w:val="0"/>
          <w:sz w:val="32"/>
          <w:szCs w:val="32"/>
          <w:lang w:val="zh-CN" w:eastAsia="zh-CN"/>
        </w:rPr>
        <w:t>万元，占总支出的</w:t>
      </w:r>
      <w:r>
        <w:rPr>
          <w:rFonts w:hint="eastAsia" w:ascii="Times New Roman" w:hAnsi="Times New Roman" w:eastAsia="方正仿宋_GBK" w:cs="方正仿宋_GBK"/>
          <w:snapToGrid w:val="0"/>
          <w:kern w:val="0"/>
          <w:sz w:val="32"/>
          <w:szCs w:val="32"/>
          <w:lang w:val="en-US" w:eastAsia="zh-CN"/>
        </w:rPr>
        <w:t>52.72%；</w:t>
      </w:r>
      <w:r>
        <w:rPr>
          <w:rFonts w:hint="eastAsia" w:ascii="Times New Roman" w:hAnsi="Times New Roman" w:eastAsia="方正仿宋_GBK" w:cs="方正仿宋_GBK"/>
          <w:snapToGrid w:val="0"/>
          <w:kern w:val="0"/>
          <w:sz w:val="32"/>
          <w:szCs w:val="32"/>
          <w:lang w:val="zh-CN" w:eastAsia="zh-CN"/>
        </w:rPr>
        <w:t>项目支出</w:t>
      </w:r>
      <w:r>
        <w:rPr>
          <w:rFonts w:hint="eastAsia" w:ascii="Times New Roman" w:hAnsi="Times New Roman" w:eastAsia="方正仿宋_GBK" w:cs="方正仿宋_GBK"/>
          <w:snapToGrid w:val="0"/>
          <w:kern w:val="0"/>
          <w:sz w:val="32"/>
          <w:szCs w:val="32"/>
          <w:lang w:val="en-US" w:eastAsia="zh-CN"/>
        </w:rPr>
        <w:t>1559.8</w:t>
      </w:r>
      <w:r>
        <w:rPr>
          <w:rFonts w:hint="eastAsia" w:ascii="Times New Roman" w:hAnsi="Times New Roman" w:eastAsia="方正仿宋_GBK" w:cs="方正仿宋_GBK"/>
          <w:snapToGrid w:val="0"/>
          <w:kern w:val="0"/>
          <w:sz w:val="32"/>
          <w:szCs w:val="32"/>
          <w:lang w:val="zh-CN" w:eastAsia="zh-CN"/>
        </w:rPr>
        <w:t>万元，占总支出的</w:t>
      </w:r>
      <w:r>
        <w:rPr>
          <w:rFonts w:hint="eastAsia" w:ascii="Times New Roman" w:hAnsi="Times New Roman" w:eastAsia="方正仿宋_GBK" w:cs="方正仿宋_GBK"/>
          <w:snapToGrid w:val="0"/>
          <w:kern w:val="0"/>
          <w:sz w:val="32"/>
          <w:szCs w:val="32"/>
          <w:lang w:val="en-US" w:eastAsia="zh-CN"/>
        </w:rPr>
        <w:t>47.28%。基本支出主要用于发放工资、缴纳五险一金和保障部门日常运转等事项；</w:t>
      </w:r>
      <w:r>
        <w:rPr>
          <w:rFonts w:hint="eastAsia" w:ascii="Times New Roman" w:hAnsi="Times New Roman" w:eastAsia="方正仿宋_GBK" w:cs="方正仿宋_GBK"/>
          <w:snapToGrid w:val="0"/>
          <w:kern w:val="0"/>
          <w:sz w:val="32"/>
          <w:szCs w:val="32"/>
          <w:highlight w:val="none"/>
          <w:lang w:val="en-US" w:eastAsia="zh-CN"/>
        </w:rPr>
        <w:t>项目支出主要用于“外宣工作经费”、“全国文明城市创建工作经费”、“互联网维护与整治经费”等53个项目。</w:t>
      </w:r>
    </w:p>
    <w:p w14:paraId="3EBD7EB1">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楷体_GBK" w:cs="方正楷体_GBK"/>
          <w:b w:val="0"/>
          <w:bCs w:val="0"/>
          <w:snapToGrid w:val="0"/>
          <w:color w:val="auto"/>
          <w:kern w:val="0"/>
          <w:sz w:val="32"/>
          <w:szCs w:val="32"/>
          <w:shd w:val="clear" w:color="auto" w:fill="FFFFFF"/>
          <w:lang w:val="zh-CN" w:eastAsia="zh-CN"/>
        </w:rPr>
      </w:pPr>
      <w:r>
        <w:rPr>
          <w:rFonts w:hint="eastAsia" w:ascii="Times New Roman" w:hAnsi="Times New Roman" w:eastAsia="方正楷体_GBK" w:cs="方正楷体_GBK"/>
          <w:b w:val="0"/>
          <w:bCs w:val="0"/>
          <w:snapToGrid w:val="0"/>
          <w:color w:val="auto"/>
          <w:kern w:val="0"/>
          <w:sz w:val="32"/>
          <w:szCs w:val="32"/>
          <w:shd w:val="clear" w:color="auto" w:fill="FFFFFF"/>
          <w:lang w:val="zh-CN" w:eastAsia="zh-CN"/>
        </w:rPr>
        <w:t>（三）结余分配和结转结余情况。</w:t>
      </w:r>
    </w:p>
    <w:p w14:paraId="77AD7993">
      <w:pPr>
        <w:pStyle w:val="10"/>
        <w:keepNext w:val="0"/>
        <w:keepLines w:val="0"/>
        <w:pageBreakBefore w:val="0"/>
        <w:widowControl w:val="0"/>
        <w:kinsoku/>
        <w:wordWrap/>
        <w:overflowPunct/>
        <w:topLinePunct w:val="0"/>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eastAsia="zh-CN" w:bidi="ar-SA"/>
        </w:rPr>
        <w:t>根据决算口径，2025年度无结转结余资金。</w:t>
      </w:r>
    </w:p>
    <w:p w14:paraId="3BD80FB2">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黑体_GBK" w:cs="方正黑体_GBK"/>
          <w:snapToGrid w:val="0"/>
          <w:color w:val="auto"/>
          <w:kern w:val="0"/>
          <w:sz w:val="32"/>
          <w:szCs w:val="32"/>
          <w:shd w:val="clear" w:color="auto" w:fill="FFFFFF"/>
        </w:rPr>
      </w:pPr>
      <w:r>
        <w:rPr>
          <w:rFonts w:hint="eastAsia" w:ascii="Times New Roman" w:hAnsi="Times New Roman" w:eastAsia="方正黑体_GBK" w:cs="方正黑体_GBK"/>
          <w:snapToGrid w:val="0"/>
          <w:color w:val="auto"/>
          <w:kern w:val="0"/>
          <w:sz w:val="32"/>
          <w:szCs w:val="32"/>
          <w:shd w:val="clear" w:color="auto" w:fill="FFFFFF"/>
        </w:rPr>
        <w:t>三、部门</w:t>
      </w:r>
      <w:r>
        <w:rPr>
          <w:rFonts w:hint="eastAsia" w:ascii="Times New Roman" w:hAnsi="Times New Roman" w:eastAsia="方正黑体_GBK" w:cs="方正黑体_GBK"/>
          <w:snapToGrid w:val="0"/>
          <w:color w:val="auto"/>
          <w:kern w:val="0"/>
          <w:sz w:val="32"/>
          <w:szCs w:val="32"/>
          <w:shd w:val="clear" w:color="auto" w:fill="FFFFFF"/>
          <w:lang w:eastAsia="zh-CN"/>
        </w:rPr>
        <w:t>预算绩效分析</w:t>
      </w:r>
    </w:p>
    <w:p w14:paraId="7F37D82F">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楷体_GBK" w:cs="方正楷体_GBK"/>
          <w:b w:val="0"/>
          <w:bCs w:val="0"/>
          <w:snapToGrid w:val="0"/>
          <w:color w:val="auto"/>
          <w:kern w:val="0"/>
          <w:sz w:val="32"/>
          <w:szCs w:val="32"/>
          <w:shd w:val="clear" w:color="auto" w:fill="FFFFFF"/>
          <w:lang w:val="en-US" w:eastAsia="zh-CN"/>
        </w:rPr>
      </w:pPr>
      <w:r>
        <w:rPr>
          <w:rFonts w:hint="eastAsia" w:ascii="Times New Roman" w:hAnsi="Times New Roman" w:eastAsia="方正楷体_GBK" w:cs="方正楷体_GBK"/>
          <w:b w:val="0"/>
          <w:bCs w:val="0"/>
          <w:snapToGrid w:val="0"/>
          <w:color w:val="auto"/>
          <w:kern w:val="0"/>
          <w:sz w:val="32"/>
          <w:szCs w:val="32"/>
          <w:shd w:val="clear" w:color="auto" w:fill="FFFFFF"/>
          <w:lang w:val="zh-CN" w:eastAsia="zh-CN"/>
        </w:rPr>
        <w:t>（一）部门预算总体绩效分析</w:t>
      </w:r>
    </w:p>
    <w:p w14:paraId="2EF94971">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zh-CN" w:eastAsia="zh-CN"/>
        </w:rPr>
      </w:pPr>
      <w:r>
        <w:rPr>
          <w:rFonts w:hint="eastAsia" w:ascii="Times New Roman" w:hAnsi="Times New Roman" w:eastAsia="方正仿宋_GBK" w:cs="方正仿宋_GBK"/>
          <w:b w:val="0"/>
          <w:bCs w:val="0"/>
          <w:snapToGrid w:val="0"/>
          <w:kern w:val="0"/>
          <w:sz w:val="32"/>
          <w:szCs w:val="32"/>
          <w:highlight w:val="none"/>
          <w:lang w:val="en-US" w:eastAsia="zh-CN"/>
        </w:rPr>
        <w:t>1.</w:t>
      </w:r>
      <w:r>
        <w:rPr>
          <w:rFonts w:hint="eastAsia" w:ascii="Times New Roman" w:hAnsi="Times New Roman" w:eastAsia="方正仿宋_GBK" w:cs="方正仿宋_GBK"/>
          <w:b/>
          <w:bCs/>
          <w:snapToGrid w:val="0"/>
          <w:kern w:val="0"/>
          <w:sz w:val="32"/>
          <w:szCs w:val="32"/>
          <w:highlight w:val="none"/>
          <w:lang w:val="zh-CN" w:eastAsia="zh-CN"/>
        </w:rPr>
        <w:t>履职效能方面。</w:t>
      </w:r>
      <w:r>
        <w:rPr>
          <w:rFonts w:hint="eastAsia" w:ascii="Times New Roman" w:hAnsi="Times New Roman" w:eastAsia="方正仿宋_GBK" w:cs="方正仿宋_GBK"/>
          <w:snapToGrid w:val="0"/>
          <w:kern w:val="0"/>
          <w:sz w:val="32"/>
          <w:szCs w:val="32"/>
          <w:highlight w:val="none"/>
          <w:lang w:val="zh-CN" w:eastAsia="zh-CN"/>
        </w:rPr>
        <w:t>（总分</w:t>
      </w:r>
      <w:r>
        <w:rPr>
          <w:rFonts w:hint="eastAsia" w:ascii="Times New Roman" w:hAnsi="Times New Roman" w:eastAsia="方正仿宋_GBK" w:cs="方正仿宋_GBK"/>
          <w:snapToGrid w:val="0"/>
          <w:kern w:val="0"/>
          <w:sz w:val="32"/>
          <w:szCs w:val="32"/>
          <w:highlight w:val="none"/>
          <w:lang w:val="en-US" w:eastAsia="zh-CN"/>
        </w:rPr>
        <w:t>19分，自评得分19分</w:t>
      </w:r>
      <w:r>
        <w:rPr>
          <w:rFonts w:hint="eastAsia" w:ascii="Times New Roman" w:hAnsi="Times New Roman" w:eastAsia="方正仿宋_GBK" w:cs="方正仿宋_GBK"/>
          <w:snapToGrid w:val="0"/>
          <w:kern w:val="0"/>
          <w:sz w:val="32"/>
          <w:szCs w:val="32"/>
          <w:highlight w:val="none"/>
          <w:lang w:val="zh-CN" w:eastAsia="zh-CN"/>
        </w:rPr>
        <w:t>）</w:t>
      </w:r>
    </w:p>
    <w:p w14:paraId="6D575C81">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eastAsia="zh-CN"/>
        </w:rPr>
        <w:t>2025年，市委宣传部坚持以习近平新时代中国特色社会主义思想为引领，深入学习贯彻习近平文化思想，认真落实中央和省委、市委决策部署，整合资源、集成能力，持续构建“工作+宣传”格局，切实履行“举旗帜、聚民心、育新人、兴文化、展形象”使命任务。根据预算绩效分析相关要求，本年度选定“意识形态工作履职效果”、“新闻外宣工作履职效果”、“精神文明建设履职效果”和“互联网维护与整治</w:t>
      </w:r>
      <w:r>
        <w:rPr>
          <w:rFonts w:hint="eastAsia" w:ascii="Times New Roman" w:hAnsi="Times New Roman" w:eastAsia="方正仿宋_GBK" w:cs="方正仿宋_GBK"/>
          <w:snapToGrid w:val="0"/>
          <w:kern w:val="0"/>
          <w:sz w:val="32"/>
          <w:szCs w:val="32"/>
          <w:highlight w:val="none"/>
          <w:lang w:val="en-US" w:eastAsia="zh-CN"/>
        </w:rPr>
        <w:t>履职</w:t>
      </w:r>
      <w:r>
        <w:rPr>
          <w:rFonts w:hint="eastAsia" w:ascii="Times New Roman" w:hAnsi="Times New Roman" w:eastAsia="方正仿宋_GBK" w:cs="方正仿宋_GBK"/>
          <w:snapToGrid w:val="0"/>
          <w:kern w:val="0"/>
          <w:sz w:val="32"/>
          <w:szCs w:val="32"/>
          <w:lang w:val="en-US" w:eastAsia="zh-CN"/>
        </w:rPr>
        <w:t>效果”四项指标来反映部门整体履职效能。四项职能目标所对应的可量化计算的绩效目标，均达到年初设定值，表明部门整体履职效能较好。</w:t>
      </w:r>
    </w:p>
    <w:p w14:paraId="6B8A65D3">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b w:val="0"/>
          <w:bCs w:val="0"/>
          <w:snapToGrid w:val="0"/>
          <w:kern w:val="0"/>
          <w:sz w:val="32"/>
          <w:szCs w:val="32"/>
          <w:highlight w:val="none"/>
          <w:lang w:val="zh-CN" w:eastAsia="zh-CN"/>
        </w:rPr>
      </w:pPr>
      <w:r>
        <w:rPr>
          <w:rFonts w:hint="eastAsia" w:ascii="Times New Roman" w:hAnsi="Times New Roman" w:eastAsia="方正仿宋_GBK" w:cs="方正仿宋_GBK"/>
          <w:b w:val="0"/>
          <w:bCs w:val="0"/>
          <w:snapToGrid w:val="0"/>
          <w:kern w:val="0"/>
          <w:sz w:val="32"/>
          <w:szCs w:val="32"/>
          <w:highlight w:val="none"/>
          <w:lang w:val="en-US" w:eastAsia="zh-CN"/>
        </w:rPr>
        <w:t>2.</w:t>
      </w:r>
      <w:r>
        <w:rPr>
          <w:rFonts w:hint="eastAsia" w:ascii="Times New Roman" w:hAnsi="Times New Roman" w:eastAsia="方正仿宋_GBK" w:cs="方正仿宋_GBK"/>
          <w:b/>
          <w:bCs/>
          <w:snapToGrid w:val="0"/>
          <w:kern w:val="0"/>
          <w:sz w:val="32"/>
          <w:szCs w:val="32"/>
          <w:highlight w:val="none"/>
          <w:lang w:val="en-US" w:eastAsia="zh-CN"/>
        </w:rPr>
        <w:t>预算管理方面。</w:t>
      </w:r>
      <w:r>
        <w:rPr>
          <w:rFonts w:hint="eastAsia" w:ascii="Times New Roman" w:hAnsi="Times New Roman" w:eastAsia="方正仿宋_GBK" w:cs="方正仿宋_GBK"/>
          <w:b w:val="0"/>
          <w:bCs w:val="0"/>
          <w:snapToGrid w:val="0"/>
          <w:kern w:val="0"/>
          <w:sz w:val="32"/>
          <w:szCs w:val="32"/>
          <w:highlight w:val="none"/>
          <w:lang w:val="zh-CN" w:eastAsia="zh-CN"/>
        </w:rPr>
        <w:t>（总分</w:t>
      </w:r>
      <w:r>
        <w:rPr>
          <w:rFonts w:hint="eastAsia" w:ascii="Times New Roman" w:hAnsi="Times New Roman" w:eastAsia="方正仿宋_GBK" w:cs="方正仿宋_GBK"/>
          <w:b w:val="0"/>
          <w:bCs w:val="0"/>
          <w:snapToGrid w:val="0"/>
          <w:kern w:val="0"/>
          <w:sz w:val="32"/>
          <w:szCs w:val="32"/>
          <w:highlight w:val="none"/>
          <w:lang w:val="en-US" w:eastAsia="zh-CN"/>
        </w:rPr>
        <w:t>21分，自评得分20.41分</w:t>
      </w:r>
      <w:r>
        <w:rPr>
          <w:rFonts w:hint="eastAsia" w:ascii="Times New Roman" w:hAnsi="Times New Roman" w:eastAsia="方正仿宋_GBK" w:cs="方正仿宋_GBK"/>
          <w:b w:val="0"/>
          <w:bCs w:val="0"/>
          <w:snapToGrid w:val="0"/>
          <w:kern w:val="0"/>
          <w:sz w:val="32"/>
          <w:szCs w:val="32"/>
          <w:highlight w:val="none"/>
          <w:lang w:val="zh-CN" w:eastAsia="zh-CN"/>
        </w:rPr>
        <w:t>）</w:t>
      </w:r>
    </w:p>
    <w:p w14:paraId="5D0DE4C7">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eastAsia="zh-CN"/>
        </w:rPr>
        <w:t>（1）预算编制质量。2025年度严格按照预算编制要求，结合部门以前年度支出实际情况科学编制了部门预算，财政拨款预算执行数3298.85万元，预算数3298.85万元，偏离度为0。按照评分口径测算，自评得分8分。</w:t>
      </w:r>
    </w:p>
    <w:p w14:paraId="5F381337">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eastAsia="zh-CN"/>
        </w:rPr>
        <w:t>（2）支出执行进度。各预算项目支出执行进度基本与工作开展情况相匹配，因部分项目合同约定为在年底一次性支付，影响了整体执行进度。1-6月、1-10月执行进度分别为38.05%、67%，按照评分口径测算，自评得分5.41分。</w:t>
      </w:r>
    </w:p>
    <w:p w14:paraId="272F2000">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eastAsia="zh-CN"/>
        </w:rPr>
        <w:t>（3）预算年终结余。本部门整体年终预算无结余。按照评分口径测算，自评得分2分。</w:t>
      </w:r>
    </w:p>
    <w:p w14:paraId="34057D42">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eastAsia="zh-CN"/>
        </w:rPr>
        <w:t>（4）严控一般性支出。严格遵守压缩一般性支出的相关规定，将过紧日子作为财务管理长期坚持的基本要求，2025年度“三公”经费、会议、培训、差旅等一般性支出小于上年度合计数。按照评分口径测算，自评得分5分。</w:t>
      </w:r>
    </w:p>
    <w:p w14:paraId="375B130C">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b/>
          <w:bCs/>
          <w:snapToGrid w:val="0"/>
          <w:kern w:val="0"/>
          <w:sz w:val="32"/>
          <w:szCs w:val="32"/>
          <w:highlight w:val="none"/>
          <w:lang w:val="en-US" w:eastAsia="zh-CN"/>
        </w:rPr>
      </w:pPr>
      <w:r>
        <w:rPr>
          <w:rFonts w:hint="eastAsia" w:ascii="Times New Roman" w:hAnsi="Times New Roman" w:eastAsia="方正仿宋_GBK" w:cs="方正仿宋_GBK"/>
          <w:b w:val="0"/>
          <w:bCs w:val="0"/>
          <w:snapToGrid w:val="0"/>
          <w:kern w:val="0"/>
          <w:sz w:val="32"/>
          <w:szCs w:val="32"/>
          <w:lang w:val="en-US" w:eastAsia="zh-CN"/>
        </w:rPr>
        <w:t>3.</w:t>
      </w:r>
      <w:r>
        <w:rPr>
          <w:rFonts w:hint="eastAsia" w:ascii="Times New Roman" w:hAnsi="Times New Roman" w:eastAsia="方正仿宋_GBK" w:cs="方正仿宋_GBK"/>
          <w:b/>
          <w:bCs/>
          <w:snapToGrid w:val="0"/>
          <w:kern w:val="0"/>
          <w:sz w:val="32"/>
          <w:szCs w:val="32"/>
          <w:lang w:val="en-US" w:eastAsia="zh-CN"/>
        </w:rPr>
        <w:t>财务管理方面。</w:t>
      </w:r>
      <w:r>
        <w:rPr>
          <w:rFonts w:hint="eastAsia" w:ascii="Times New Roman" w:hAnsi="Times New Roman" w:eastAsia="方正仿宋_GBK" w:cs="方正仿宋_GBK"/>
          <w:b w:val="0"/>
          <w:bCs w:val="0"/>
          <w:snapToGrid w:val="0"/>
          <w:kern w:val="0"/>
          <w:sz w:val="32"/>
          <w:szCs w:val="32"/>
          <w:highlight w:val="none"/>
          <w:lang w:val="zh-CN" w:eastAsia="zh-CN"/>
        </w:rPr>
        <w:t>（总分</w:t>
      </w:r>
      <w:r>
        <w:rPr>
          <w:rFonts w:hint="eastAsia" w:ascii="Times New Roman" w:hAnsi="Times New Roman" w:eastAsia="方正仿宋_GBK" w:cs="方正仿宋_GBK"/>
          <w:b w:val="0"/>
          <w:bCs w:val="0"/>
          <w:snapToGrid w:val="0"/>
          <w:kern w:val="0"/>
          <w:sz w:val="32"/>
          <w:szCs w:val="32"/>
          <w:highlight w:val="none"/>
          <w:lang w:val="en-US" w:eastAsia="zh-CN"/>
        </w:rPr>
        <w:t>10分，自评得分10分</w:t>
      </w:r>
      <w:r>
        <w:rPr>
          <w:rFonts w:hint="eastAsia" w:ascii="Times New Roman" w:hAnsi="Times New Roman" w:eastAsia="方正仿宋_GBK" w:cs="方正仿宋_GBK"/>
          <w:b w:val="0"/>
          <w:bCs w:val="0"/>
          <w:snapToGrid w:val="0"/>
          <w:kern w:val="0"/>
          <w:sz w:val="32"/>
          <w:szCs w:val="32"/>
          <w:highlight w:val="none"/>
          <w:lang w:val="zh-CN" w:eastAsia="zh-CN"/>
        </w:rPr>
        <w:t>）</w:t>
      </w:r>
    </w:p>
    <w:p w14:paraId="0766B481">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zh-CN" w:eastAsia="zh-CN"/>
        </w:rPr>
        <w:t>（</w:t>
      </w:r>
      <w:r>
        <w:rPr>
          <w:rFonts w:hint="eastAsia" w:ascii="Times New Roman" w:hAnsi="Times New Roman" w:eastAsia="方正仿宋_GBK" w:cs="方正仿宋_GBK"/>
          <w:snapToGrid w:val="0"/>
          <w:kern w:val="0"/>
          <w:sz w:val="32"/>
          <w:szCs w:val="32"/>
          <w:lang w:val="en-US" w:eastAsia="zh-CN"/>
        </w:rPr>
        <w:t>1</w:t>
      </w:r>
      <w:r>
        <w:rPr>
          <w:rFonts w:hint="eastAsia" w:ascii="Times New Roman" w:hAnsi="Times New Roman" w:eastAsia="方正仿宋_GBK" w:cs="方正仿宋_GBK"/>
          <w:snapToGrid w:val="0"/>
          <w:kern w:val="0"/>
          <w:sz w:val="32"/>
          <w:szCs w:val="32"/>
          <w:lang w:val="zh-CN" w:eastAsia="zh-CN"/>
        </w:rPr>
        <w:t>）财务管理制度。在财务工作方面，严格做好部门财务制度的修订完善等工作，目前已制定《内控管理制度》《财务管理暂行办法》等相关财务制度。资金使用上严格遵照以上制度相关要求并严格审核报销，财务管理较为规范，整体运转稳健，自评得分</w:t>
      </w:r>
      <w:r>
        <w:rPr>
          <w:rFonts w:hint="eastAsia" w:ascii="Times New Roman" w:hAnsi="Times New Roman" w:eastAsia="方正仿宋_GBK" w:cs="方正仿宋_GBK"/>
          <w:snapToGrid w:val="0"/>
          <w:kern w:val="0"/>
          <w:sz w:val="32"/>
          <w:szCs w:val="32"/>
          <w:lang w:val="en-US" w:eastAsia="zh-CN"/>
        </w:rPr>
        <w:t>4分。</w:t>
      </w:r>
    </w:p>
    <w:p w14:paraId="7E50CCA0">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zh-CN" w:eastAsia="zh-CN"/>
        </w:rPr>
      </w:pPr>
      <w:r>
        <w:rPr>
          <w:rFonts w:hint="eastAsia" w:ascii="Times New Roman" w:hAnsi="Times New Roman" w:eastAsia="方正仿宋_GBK" w:cs="方正仿宋_GBK"/>
          <w:snapToGrid w:val="0"/>
          <w:kern w:val="0"/>
          <w:sz w:val="32"/>
          <w:szCs w:val="32"/>
          <w:lang w:val="en-US" w:eastAsia="zh-CN"/>
        </w:rPr>
        <w:t>（2）财务岗位设置。市委宣传部严格按照内控制度要求，合理设置财务工作岗位，明确职责权限，并严格实行不相容岗位分离。自评得分2分。</w:t>
      </w:r>
    </w:p>
    <w:p w14:paraId="07A68FA8">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eastAsia="zh-CN"/>
        </w:rPr>
        <w:t>（3）资金使用规范。部门资金使用严格按照相关财务管理制度要求，不存在超范围超标准使用经费、违规使用“三公”经费、滥发津补贴、报销不合规等情况。自评得分4分。</w:t>
      </w:r>
    </w:p>
    <w:p w14:paraId="42050B48">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b/>
          <w:bCs/>
          <w:snapToGrid w:val="0"/>
          <w:kern w:val="0"/>
          <w:sz w:val="32"/>
          <w:szCs w:val="32"/>
          <w:highlight w:val="none"/>
          <w:lang w:val="en-US" w:eastAsia="zh-CN"/>
        </w:rPr>
      </w:pPr>
      <w:r>
        <w:rPr>
          <w:rFonts w:hint="eastAsia" w:ascii="Times New Roman" w:hAnsi="Times New Roman" w:eastAsia="方正仿宋_GBK" w:cs="方正仿宋_GBK"/>
          <w:b w:val="0"/>
          <w:bCs w:val="0"/>
          <w:snapToGrid w:val="0"/>
          <w:kern w:val="0"/>
          <w:sz w:val="32"/>
          <w:szCs w:val="32"/>
          <w:lang w:val="en-US" w:eastAsia="zh-CN"/>
        </w:rPr>
        <w:t>4.</w:t>
      </w:r>
      <w:r>
        <w:rPr>
          <w:rFonts w:hint="eastAsia" w:ascii="Times New Roman" w:hAnsi="Times New Roman" w:eastAsia="方正仿宋_GBK" w:cs="方正仿宋_GBK"/>
          <w:b/>
          <w:bCs/>
          <w:snapToGrid w:val="0"/>
          <w:kern w:val="0"/>
          <w:sz w:val="32"/>
          <w:szCs w:val="32"/>
          <w:lang w:val="en-US" w:eastAsia="zh-CN"/>
        </w:rPr>
        <w:t>资产管理方面。</w:t>
      </w:r>
      <w:r>
        <w:rPr>
          <w:rFonts w:hint="eastAsia" w:ascii="Times New Roman" w:hAnsi="Times New Roman" w:eastAsia="方正仿宋_GBK" w:cs="方正仿宋_GBK"/>
          <w:b w:val="0"/>
          <w:bCs w:val="0"/>
          <w:snapToGrid w:val="0"/>
          <w:kern w:val="0"/>
          <w:sz w:val="32"/>
          <w:szCs w:val="32"/>
          <w:highlight w:val="none"/>
          <w:lang w:val="zh-CN" w:eastAsia="zh-CN"/>
        </w:rPr>
        <w:t>（总分</w:t>
      </w:r>
      <w:r>
        <w:rPr>
          <w:rFonts w:hint="eastAsia" w:ascii="Times New Roman" w:hAnsi="Times New Roman" w:eastAsia="方正仿宋_GBK" w:cs="方正仿宋_GBK"/>
          <w:b w:val="0"/>
          <w:bCs w:val="0"/>
          <w:snapToGrid w:val="0"/>
          <w:kern w:val="0"/>
          <w:sz w:val="32"/>
          <w:szCs w:val="32"/>
          <w:highlight w:val="none"/>
          <w:lang w:val="en-US" w:eastAsia="zh-CN"/>
        </w:rPr>
        <w:t>9分，自评得分4.8分</w:t>
      </w:r>
      <w:r>
        <w:rPr>
          <w:rFonts w:hint="eastAsia" w:ascii="Times New Roman" w:hAnsi="Times New Roman" w:eastAsia="方正仿宋_GBK" w:cs="方正仿宋_GBK"/>
          <w:b w:val="0"/>
          <w:bCs w:val="0"/>
          <w:snapToGrid w:val="0"/>
          <w:kern w:val="0"/>
          <w:sz w:val="32"/>
          <w:szCs w:val="32"/>
          <w:highlight w:val="none"/>
          <w:lang w:val="zh-CN" w:eastAsia="zh-CN"/>
        </w:rPr>
        <w:t>）</w:t>
      </w:r>
    </w:p>
    <w:p w14:paraId="08E5737F">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eastAsia="zh-CN"/>
        </w:rPr>
        <w:t>（1）人均资产变化率。2024年人均占有资产1.68万元，2025年人均占有资产5.16万元，人均资产变化率为208%，变化幅度较大，主要原因是2021年建设的“网信系统技术体系项目”在本年度从在建工程转入固定资产，使得固定资产总额增加251.13万元。按照评分口径测算，自评得分0分。</w:t>
      </w:r>
    </w:p>
    <w:p w14:paraId="0247F4FA">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eastAsia="zh-CN"/>
        </w:rPr>
        <w:t>（2）资产利用率。2024年我部办公家具超最低年限资产利用率为10.72%，办公设备超最低使用年限资产利用率为20.52%，按照评分口径测算，自评得分1.8分。</w:t>
      </w:r>
    </w:p>
    <w:p w14:paraId="714BBD77">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eastAsia="zh-CN"/>
        </w:rPr>
        <w:t>（3）资产盘活率。近两年我部无闲置资产。按照评分口径测算，自评得分3分。</w:t>
      </w:r>
    </w:p>
    <w:p w14:paraId="60B054C1">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eastAsia" w:ascii="Times New Roman" w:hAnsi="Times New Roman" w:eastAsia="方正仿宋_GBK" w:cs="方正仿宋_GBK"/>
          <w:b/>
          <w:bCs/>
          <w:snapToGrid w:val="0"/>
          <w:kern w:val="0"/>
          <w:sz w:val="32"/>
          <w:szCs w:val="32"/>
          <w:lang w:val="en-US" w:eastAsia="zh-CN"/>
        </w:rPr>
      </w:pPr>
      <w:r>
        <w:rPr>
          <w:rFonts w:hint="eastAsia" w:ascii="Times New Roman" w:hAnsi="Times New Roman" w:eastAsia="方正仿宋_GBK" w:cs="方正仿宋_GBK"/>
          <w:b w:val="0"/>
          <w:bCs w:val="0"/>
          <w:snapToGrid w:val="0"/>
          <w:kern w:val="0"/>
          <w:sz w:val="32"/>
          <w:szCs w:val="32"/>
          <w:lang w:val="en-US" w:eastAsia="zh-CN"/>
        </w:rPr>
        <w:t>5.</w:t>
      </w:r>
      <w:r>
        <w:rPr>
          <w:rFonts w:hint="eastAsia" w:ascii="Times New Roman" w:hAnsi="Times New Roman" w:eastAsia="方正仿宋_GBK" w:cs="方正仿宋_GBK"/>
          <w:b/>
          <w:bCs/>
          <w:snapToGrid w:val="0"/>
          <w:kern w:val="0"/>
          <w:sz w:val="32"/>
          <w:szCs w:val="32"/>
          <w:lang w:val="en-US" w:eastAsia="zh-CN"/>
        </w:rPr>
        <w:t>采购管理方面。</w:t>
      </w:r>
      <w:r>
        <w:rPr>
          <w:rFonts w:hint="eastAsia" w:ascii="Times New Roman" w:hAnsi="Times New Roman" w:eastAsia="方正仿宋_GBK" w:cs="方正仿宋_GBK"/>
          <w:b w:val="0"/>
          <w:bCs w:val="0"/>
          <w:snapToGrid w:val="0"/>
          <w:kern w:val="0"/>
          <w:sz w:val="32"/>
          <w:szCs w:val="32"/>
          <w:highlight w:val="none"/>
          <w:lang w:val="zh-CN" w:eastAsia="zh-CN"/>
        </w:rPr>
        <w:t>（总分</w:t>
      </w:r>
      <w:r>
        <w:rPr>
          <w:rFonts w:hint="eastAsia" w:ascii="Times New Roman" w:hAnsi="Times New Roman" w:eastAsia="方正仿宋_GBK" w:cs="方正仿宋_GBK"/>
          <w:b w:val="0"/>
          <w:bCs w:val="0"/>
          <w:snapToGrid w:val="0"/>
          <w:kern w:val="0"/>
          <w:sz w:val="32"/>
          <w:szCs w:val="32"/>
          <w:highlight w:val="none"/>
          <w:lang w:val="en-US" w:eastAsia="zh-CN"/>
        </w:rPr>
        <w:t>6分，自评得分6分</w:t>
      </w:r>
      <w:r>
        <w:rPr>
          <w:rFonts w:hint="eastAsia" w:ascii="Times New Roman" w:hAnsi="Times New Roman" w:eastAsia="方正仿宋_GBK" w:cs="方正仿宋_GBK"/>
          <w:b w:val="0"/>
          <w:bCs w:val="0"/>
          <w:snapToGrid w:val="0"/>
          <w:kern w:val="0"/>
          <w:sz w:val="32"/>
          <w:szCs w:val="32"/>
          <w:highlight w:val="none"/>
          <w:lang w:val="zh-CN" w:eastAsia="zh-CN"/>
        </w:rPr>
        <w:t>）</w:t>
      </w:r>
    </w:p>
    <w:p w14:paraId="165ECFAF">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contextualSpacing/>
        <w:jc w:val="both"/>
        <w:textAlignment w:val="auto"/>
        <w:outlineLvl w:val="9"/>
        <w:rPr>
          <w:rFonts w:ascii="Times New Roman" w:hAnsi="Times New Roman" w:eastAsia="方正仿宋_GBK" w:cs="方正仿宋_GBK"/>
          <w:snapToGrid w:val="0"/>
          <w:color w:val="000000"/>
          <w:kern w:val="0"/>
          <w:sz w:val="32"/>
          <w:szCs w:val="32"/>
          <w:highlight w:val="none"/>
          <w:shd w:val="clear" w:color="auto" w:fill="FFFFFF"/>
          <w:lang w:val="en-US" w:eastAsia="zh-CN"/>
        </w:rPr>
      </w:pPr>
      <w:r>
        <w:rPr>
          <w:rFonts w:hint="eastAsia" w:ascii="Times New Roman" w:hAnsi="Times New Roman" w:eastAsia="方正仿宋_GBK" w:cs="方正仿宋_GBK"/>
          <w:snapToGrid w:val="0"/>
          <w:kern w:val="0"/>
          <w:sz w:val="32"/>
          <w:szCs w:val="32"/>
          <w:lang w:val="en-US" w:eastAsia="zh-CN"/>
        </w:rPr>
        <w:t>（1）</w:t>
      </w:r>
      <w:r>
        <w:rPr>
          <w:rFonts w:hint="eastAsia" w:ascii="Times New Roman" w:hAnsi="Times New Roman" w:eastAsia="方正仿宋_GBK" w:cs="方正仿宋_GBK"/>
          <w:snapToGrid w:val="0"/>
          <w:color w:val="000000"/>
          <w:kern w:val="0"/>
          <w:sz w:val="32"/>
          <w:szCs w:val="32"/>
          <w:highlight w:val="none"/>
          <w:shd w:val="clear" w:color="auto" w:fill="FFFFFF"/>
          <w:lang w:val="en-US" w:eastAsia="zh-CN"/>
        </w:rPr>
        <w:t>支持中小企业发展。在进行政府采购时，严格执行政府采购促进中小企业发展相关管理办法，对适宜由中小企业提供的采购项目，预留采购份额专门面向中小企业采购，并在采购预算中单独列示。自评得分3分。</w:t>
      </w:r>
    </w:p>
    <w:p w14:paraId="63D3DE5C">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contextualSpacing/>
        <w:jc w:val="both"/>
        <w:textAlignment w:val="auto"/>
        <w:outlineLvl w:val="9"/>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eastAsia="zh-CN"/>
        </w:rPr>
        <w:t>（2）采购执行率。2025年政府采购实际支付总金额为36.5万元，当年政府采购总预算数为36.5万元，采购执行率100%。自评得分3分。</w:t>
      </w:r>
    </w:p>
    <w:p w14:paraId="07DA82E8">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eastAsia" w:ascii="Times New Roman" w:hAnsi="Times New Roman" w:eastAsia="方正楷体_GBK" w:cs="方正楷体_GBK"/>
          <w:b w:val="0"/>
          <w:bCs w:val="0"/>
          <w:snapToGrid w:val="0"/>
          <w:color w:val="auto"/>
          <w:kern w:val="0"/>
          <w:sz w:val="32"/>
          <w:szCs w:val="32"/>
          <w:shd w:val="clear" w:color="auto" w:fill="FFFFFF"/>
          <w:lang w:val="en-US" w:eastAsia="zh-CN"/>
        </w:rPr>
      </w:pPr>
      <w:r>
        <w:rPr>
          <w:rFonts w:hint="eastAsia" w:ascii="Times New Roman" w:hAnsi="Times New Roman" w:eastAsia="方正楷体_GBK" w:cs="方正楷体_GBK"/>
          <w:b w:val="0"/>
          <w:bCs w:val="0"/>
          <w:snapToGrid w:val="0"/>
          <w:color w:val="auto"/>
          <w:kern w:val="0"/>
          <w:sz w:val="32"/>
          <w:szCs w:val="32"/>
          <w:shd w:val="clear" w:color="auto" w:fill="FFFFFF"/>
          <w:lang w:val="zh-CN" w:eastAsia="zh-CN"/>
        </w:rPr>
        <w:t>（二）部门预算项目绩效分析</w:t>
      </w:r>
      <w:r>
        <w:rPr>
          <w:rFonts w:hint="eastAsia" w:ascii="Times New Roman" w:hAnsi="Times New Roman" w:eastAsia="方正仿宋_GBK" w:cs="方正仿宋_GBK"/>
          <w:b w:val="0"/>
          <w:bCs w:val="0"/>
          <w:snapToGrid w:val="0"/>
          <w:kern w:val="0"/>
          <w:sz w:val="32"/>
          <w:szCs w:val="32"/>
          <w:highlight w:val="none"/>
          <w:lang w:val="zh-CN" w:eastAsia="zh-CN"/>
        </w:rPr>
        <w:t>（总分</w:t>
      </w:r>
      <w:r>
        <w:rPr>
          <w:rFonts w:hint="eastAsia" w:ascii="Times New Roman" w:hAnsi="Times New Roman" w:eastAsia="方正仿宋_GBK" w:cs="方正仿宋_GBK"/>
          <w:b w:val="0"/>
          <w:bCs w:val="0"/>
          <w:snapToGrid w:val="0"/>
          <w:kern w:val="0"/>
          <w:sz w:val="32"/>
          <w:szCs w:val="32"/>
          <w:highlight w:val="none"/>
          <w:lang w:val="en-US" w:eastAsia="zh-CN"/>
        </w:rPr>
        <w:t>35分，自评得分35分</w:t>
      </w:r>
      <w:r>
        <w:rPr>
          <w:rFonts w:hint="eastAsia" w:ascii="Times New Roman" w:hAnsi="Times New Roman" w:eastAsia="方正仿宋_GBK" w:cs="方正仿宋_GBK"/>
          <w:b w:val="0"/>
          <w:bCs w:val="0"/>
          <w:snapToGrid w:val="0"/>
          <w:kern w:val="0"/>
          <w:sz w:val="32"/>
          <w:szCs w:val="32"/>
          <w:highlight w:val="none"/>
          <w:lang w:val="zh-CN" w:eastAsia="zh-CN"/>
        </w:rPr>
        <w:t>）</w:t>
      </w:r>
    </w:p>
    <w:p w14:paraId="4EB1E631">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contextualSpacing/>
        <w:jc w:val="both"/>
        <w:textAlignment w:val="auto"/>
        <w:outlineLvl w:val="9"/>
        <w:rPr>
          <w:rFonts w:hint="eastAsia" w:ascii="Times New Roman" w:hAnsi="Times New Roman" w:eastAsia="方正仿宋_GBK" w:cs="方正仿宋_GBK"/>
          <w:snapToGrid w:val="0"/>
          <w:color w:val="000000"/>
          <w:kern w:val="0"/>
          <w:sz w:val="32"/>
          <w:szCs w:val="32"/>
          <w:highlight w:val="none"/>
          <w:shd w:val="clear" w:color="auto" w:fill="FFFFFF"/>
          <w:lang w:val="en-US" w:eastAsia="zh-CN"/>
        </w:rPr>
      </w:pPr>
      <w:r>
        <w:rPr>
          <w:rFonts w:hint="eastAsia" w:ascii="Times New Roman" w:hAnsi="Times New Roman" w:eastAsia="方正仿宋_GBK" w:cs="方正仿宋_GBK"/>
          <w:snapToGrid w:val="0"/>
          <w:color w:val="000000"/>
          <w:kern w:val="0"/>
          <w:sz w:val="32"/>
          <w:szCs w:val="32"/>
          <w:highlight w:val="none"/>
          <w:shd w:val="clear" w:color="auto" w:fill="FFFFFF"/>
          <w:lang w:val="en-US" w:eastAsia="zh-CN"/>
        </w:rPr>
        <w:t>常年项目绩效分析。该类项目总数47个，涉及预算总金额1421.51万元，1—12月预算执行总体进度为100%，无预算结余率大于10%的项目。</w:t>
      </w:r>
    </w:p>
    <w:p w14:paraId="14FD3684">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contextualSpacing/>
        <w:jc w:val="both"/>
        <w:textAlignment w:val="auto"/>
        <w:outlineLvl w:val="9"/>
        <w:rPr>
          <w:rFonts w:hint="eastAsia" w:ascii="Times New Roman" w:hAnsi="Times New Roman" w:eastAsia="方正仿宋_GBK" w:cs="方正仿宋_GBK"/>
          <w:snapToGrid w:val="0"/>
          <w:color w:val="000000"/>
          <w:kern w:val="0"/>
          <w:sz w:val="32"/>
          <w:szCs w:val="32"/>
          <w:highlight w:val="none"/>
          <w:shd w:val="clear" w:color="auto" w:fill="FFFFFF"/>
          <w:lang w:val="en-US" w:eastAsia="zh-CN"/>
        </w:rPr>
      </w:pPr>
      <w:r>
        <w:rPr>
          <w:rFonts w:hint="eastAsia" w:ascii="Times New Roman" w:hAnsi="Times New Roman" w:eastAsia="方正仿宋_GBK" w:cs="方正仿宋_GBK"/>
          <w:snapToGrid w:val="0"/>
          <w:color w:val="000000"/>
          <w:kern w:val="0"/>
          <w:sz w:val="32"/>
          <w:szCs w:val="32"/>
          <w:highlight w:val="none"/>
          <w:shd w:val="clear" w:color="auto" w:fill="FFFFFF"/>
          <w:lang w:val="en-US" w:eastAsia="zh-CN"/>
        </w:rPr>
        <w:t>阶段（含一次性）项目绩效分析。该类项目总数6个，涉及预算总金额138.29万元，1—12月预算执行总体进度为100%，无预算结余率大于10%的项目。</w:t>
      </w:r>
    </w:p>
    <w:p w14:paraId="091A33A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eastAsia" w:ascii="Times New Roman" w:hAnsi="Times New Roman" w:eastAsia="方正仿宋_GBK" w:cs="方正仿宋_GBK"/>
          <w:b/>
          <w:bCs/>
          <w:snapToGrid w:val="0"/>
          <w:color w:val="000000"/>
          <w:kern w:val="0"/>
          <w:sz w:val="32"/>
          <w:szCs w:val="32"/>
          <w:highlight w:val="none"/>
          <w:shd w:val="clear" w:color="auto" w:fill="FFFFFF"/>
          <w:lang w:val="zh-CN" w:eastAsia="zh-CN"/>
        </w:rPr>
      </w:pPr>
      <w:r>
        <w:rPr>
          <w:rFonts w:hint="eastAsia" w:ascii="Times New Roman" w:hAnsi="Times New Roman" w:eastAsia="方正仿宋_GBK" w:cs="方正仿宋_GBK"/>
          <w:b w:val="0"/>
          <w:bCs w:val="0"/>
          <w:snapToGrid w:val="0"/>
          <w:color w:val="000000"/>
          <w:kern w:val="0"/>
          <w:sz w:val="32"/>
          <w:szCs w:val="32"/>
          <w:highlight w:val="none"/>
          <w:shd w:val="clear" w:color="auto" w:fill="FFFFFF"/>
          <w:lang w:val="en-US" w:eastAsia="zh-CN"/>
        </w:rPr>
        <w:t>1.</w:t>
      </w:r>
      <w:r>
        <w:rPr>
          <w:rFonts w:hint="eastAsia" w:ascii="Times New Roman" w:hAnsi="Times New Roman" w:eastAsia="方正仿宋_GBK" w:cs="方正仿宋_GBK"/>
          <w:b/>
          <w:bCs/>
          <w:snapToGrid w:val="0"/>
          <w:color w:val="000000"/>
          <w:kern w:val="0"/>
          <w:sz w:val="32"/>
          <w:szCs w:val="32"/>
          <w:highlight w:val="none"/>
          <w:shd w:val="clear" w:color="auto" w:fill="FFFFFF"/>
          <w:lang w:val="zh-CN" w:eastAsia="zh-CN"/>
        </w:rPr>
        <w:t>项目决策。</w:t>
      </w:r>
      <w:r>
        <w:rPr>
          <w:rFonts w:hint="eastAsia" w:ascii="Times New Roman" w:hAnsi="Times New Roman" w:eastAsia="方正仿宋_GBK" w:cs="方正仿宋_GBK"/>
          <w:b w:val="0"/>
          <w:bCs w:val="0"/>
          <w:snapToGrid w:val="0"/>
          <w:kern w:val="0"/>
          <w:sz w:val="32"/>
          <w:szCs w:val="32"/>
          <w:highlight w:val="none"/>
          <w:lang w:val="zh-CN" w:eastAsia="zh-CN"/>
        </w:rPr>
        <w:t>（总分</w:t>
      </w:r>
      <w:r>
        <w:rPr>
          <w:rFonts w:hint="eastAsia" w:ascii="Times New Roman" w:hAnsi="Times New Roman" w:eastAsia="方正仿宋_GBK" w:cs="方正仿宋_GBK"/>
          <w:b w:val="0"/>
          <w:bCs w:val="0"/>
          <w:snapToGrid w:val="0"/>
          <w:kern w:val="0"/>
          <w:sz w:val="32"/>
          <w:szCs w:val="32"/>
          <w:highlight w:val="none"/>
          <w:lang w:val="en-US" w:eastAsia="zh-CN"/>
        </w:rPr>
        <w:t>12分，自评得分12分</w:t>
      </w:r>
      <w:r>
        <w:rPr>
          <w:rFonts w:hint="eastAsia" w:ascii="Times New Roman" w:hAnsi="Times New Roman" w:eastAsia="方正仿宋_GBK" w:cs="方正仿宋_GBK"/>
          <w:b w:val="0"/>
          <w:bCs w:val="0"/>
          <w:snapToGrid w:val="0"/>
          <w:kern w:val="0"/>
          <w:sz w:val="32"/>
          <w:szCs w:val="32"/>
          <w:highlight w:val="none"/>
          <w:lang w:val="zh-CN" w:eastAsia="zh-CN"/>
        </w:rPr>
        <w:t>）</w:t>
      </w:r>
    </w:p>
    <w:p w14:paraId="795EBF0A">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color w:val="000000"/>
          <w:kern w:val="0"/>
          <w:sz w:val="32"/>
          <w:szCs w:val="32"/>
          <w:highlight w:val="none"/>
          <w:shd w:val="clear" w:color="auto" w:fill="FFFFFF"/>
          <w:lang w:val="zh-CN" w:eastAsia="zh-CN"/>
        </w:rPr>
      </w:pPr>
      <w:r>
        <w:rPr>
          <w:rFonts w:hint="eastAsia" w:ascii="Times New Roman" w:hAnsi="Times New Roman" w:eastAsia="方正仿宋_GBK" w:cs="方正仿宋_GBK"/>
          <w:snapToGrid w:val="0"/>
          <w:color w:val="000000"/>
          <w:kern w:val="0"/>
          <w:sz w:val="32"/>
          <w:szCs w:val="32"/>
          <w:highlight w:val="none"/>
          <w:shd w:val="clear" w:color="auto" w:fill="FFFFFF"/>
          <w:lang w:val="zh-CN" w:eastAsia="zh-CN"/>
        </w:rPr>
        <w:t>不论是常年项目还是阶段</w:t>
      </w:r>
      <w:r>
        <w:rPr>
          <w:rFonts w:hint="eastAsia" w:ascii="Times New Roman" w:hAnsi="Times New Roman" w:eastAsia="方正仿宋_GBK" w:cs="方正仿宋_GBK"/>
          <w:snapToGrid w:val="0"/>
          <w:color w:val="000000"/>
          <w:kern w:val="0"/>
          <w:sz w:val="32"/>
          <w:szCs w:val="32"/>
          <w:highlight w:val="none"/>
          <w:shd w:val="clear" w:color="auto" w:fill="FFFFFF"/>
          <w:lang w:val="en-US" w:eastAsia="zh-CN"/>
        </w:rPr>
        <w:t>（含一次性）</w:t>
      </w:r>
      <w:r>
        <w:rPr>
          <w:rFonts w:hint="eastAsia" w:ascii="Times New Roman" w:hAnsi="Times New Roman" w:eastAsia="方正仿宋_GBK" w:cs="方正仿宋_GBK"/>
          <w:snapToGrid w:val="0"/>
          <w:color w:val="000000"/>
          <w:kern w:val="0"/>
          <w:sz w:val="32"/>
          <w:szCs w:val="32"/>
          <w:highlight w:val="none"/>
          <w:shd w:val="clear" w:color="auto" w:fill="FFFFFF"/>
          <w:lang w:val="zh-CN" w:eastAsia="zh-CN"/>
        </w:rPr>
        <w:t>项目，在年初编制预算时均由项目实施科室根据工作计划科学合理设置项目绩效目标，经部务会审定报财政局后方进行项目入库。</w:t>
      </w:r>
      <w:r>
        <w:rPr>
          <w:rFonts w:hint="eastAsia" w:ascii="Times New Roman" w:hAnsi="Times New Roman" w:eastAsia="方正仿宋_GBK" w:cs="方正仿宋_GBK"/>
          <w:snapToGrid w:val="0"/>
          <w:kern w:val="0"/>
          <w:sz w:val="32"/>
          <w:szCs w:val="32"/>
          <w:lang w:val="en-US" w:eastAsia="zh-CN"/>
        </w:rPr>
        <w:t>按照评分口径测算，自评得分12分。</w:t>
      </w:r>
    </w:p>
    <w:p w14:paraId="08C675E0">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eastAsia" w:ascii="Times New Roman" w:hAnsi="Times New Roman" w:eastAsia="方正仿宋_GBK" w:cs="方正仿宋_GBK"/>
          <w:b/>
          <w:bCs/>
          <w:snapToGrid w:val="0"/>
          <w:color w:val="000000"/>
          <w:kern w:val="0"/>
          <w:sz w:val="32"/>
          <w:szCs w:val="32"/>
          <w:highlight w:val="none"/>
          <w:shd w:val="clear" w:color="auto" w:fill="FFFFFF"/>
          <w:lang w:val="zh-CN" w:eastAsia="zh-CN"/>
        </w:rPr>
      </w:pPr>
      <w:r>
        <w:rPr>
          <w:rFonts w:hint="eastAsia" w:ascii="Times New Roman" w:hAnsi="Times New Roman" w:eastAsia="方正仿宋_GBK" w:cs="方正仿宋_GBK"/>
          <w:b w:val="0"/>
          <w:bCs w:val="0"/>
          <w:snapToGrid w:val="0"/>
          <w:color w:val="000000"/>
          <w:kern w:val="0"/>
          <w:sz w:val="32"/>
          <w:szCs w:val="32"/>
          <w:highlight w:val="none"/>
          <w:shd w:val="clear" w:color="auto" w:fill="FFFFFF"/>
          <w:lang w:val="en-US" w:eastAsia="zh-CN"/>
        </w:rPr>
        <w:t>2.</w:t>
      </w:r>
      <w:r>
        <w:rPr>
          <w:rFonts w:hint="eastAsia" w:ascii="Times New Roman" w:hAnsi="Times New Roman" w:eastAsia="方正仿宋_GBK" w:cs="方正仿宋_GBK"/>
          <w:b/>
          <w:bCs/>
          <w:snapToGrid w:val="0"/>
          <w:color w:val="000000"/>
          <w:kern w:val="0"/>
          <w:sz w:val="32"/>
          <w:szCs w:val="32"/>
          <w:highlight w:val="none"/>
          <w:shd w:val="clear" w:color="auto" w:fill="FFFFFF"/>
          <w:lang w:val="en-US" w:eastAsia="zh-CN"/>
        </w:rPr>
        <w:t>项目执行</w:t>
      </w:r>
      <w:r>
        <w:rPr>
          <w:rFonts w:hint="eastAsia" w:ascii="Times New Roman" w:hAnsi="Times New Roman" w:eastAsia="方正仿宋_GBK" w:cs="方正仿宋_GBK"/>
          <w:b/>
          <w:bCs/>
          <w:snapToGrid w:val="0"/>
          <w:color w:val="000000"/>
          <w:kern w:val="0"/>
          <w:sz w:val="32"/>
          <w:szCs w:val="32"/>
          <w:highlight w:val="none"/>
          <w:shd w:val="clear" w:color="auto" w:fill="FFFFFF"/>
          <w:lang w:val="zh-CN" w:eastAsia="zh-CN"/>
        </w:rPr>
        <w:t>。</w:t>
      </w:r>
      <w:r>
        <w:rPr>
          <w:rFonts w:hint="eastAsia" w:ascii="Times New Roman" w:hAnsi="Times New Roman" w:eastAsia="方正仿宋_GBK" w:cs="方正仿宋_GBK"/>
          <w:b w:val="0"/>
          <w:bCs w:val="0"/>
          <w:snapToGrid w:val="0"/>
          <w:kern w:val="0"/>
          <w:sz w:val="32"/>
          <w:szCs w:val="32"/>
          <w:highlight w:val="none"/>
          <w:lang w:val="zh-CN" w:eastAsia="zh-CN"/>
        </w:rPr>
        <w:t>（总分</w:t>
      </w:r>
      <w:r>
        <w:rPr>
          <w:rFonts w:hint="eastAsia" w:ascii="Times New Roman" w:hAnsi="Times New Roman" w:eastAsia="方正仿宋_GBK" w:cs="方正仿宋_GBK"/>
          <w:b w:val="0"/>
          <w:bCs w:val="0"/>
          <w:snapToGrid w:val="0"/>
          <w:kern w:val="0"/>
          <w:sz w:val="32"/>
          <w:szCs w:val="32"/>
          <w:highlight w:val="none"/>
          <w:lang w:val="en-US" w:eastAsia="zh-CN"/>
        </w:rPr>
        <w:t>12分，自评得分12分</w:t>
      </w:r>
      <w:r>
        <w:rPr>
          <w:rFonts w:hint="eastAsia" w:ascii="Times New Roman" w:hAnsi="Times New Roman" w:eastAsia="方正仿宋_GBK" w:cs="方正仿宋_GBK"/>
          <w:b w:val="0"/>
          <w:bCs w:val="0"/>
          <w:snapToGrid w:val="0"/>
          <w:kern w:val="0"/>
          <w:sz w:val="32"/>
          <w:szCs w:val="32"/>
          <w:highlight w:val="none"/>
          <w:lang w:val="zh-CN" w:eastAsia="zh-CN"/>
        </w:rPr>
        <w:t>）</w:t>
      </w:r>
    </w:p>
    <w:p w14:paraId="1806668F">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color w:val="000000"/>
          <w:kern w:val="0"/>
          <w:sz w:val="32"/>
          <w:szCs w:val="32"/>
          <w:highlight w:val="none"/>
          <w:shd w:val="clear" w:color="auto" w:fill="FFFFFF"/>
          <w:lang w:val="zh-CN" w:eastAsia="zh-CN"/>
        </w:rPr>
      </w:pPr>
      <w:r>
        <w:rPr>
          <w:rFonts w:hint="eastAsia" w:ascii="Times New Roman" w:hAnsi="Times New Roman" w:eastAsia="方正仿宋_GBK" w:cs="方正仿宋_GBK"/>
          <w:snapToGrid w:val="0"/>
          <w:color w:val="000000"/>
          <w:kern w:val="0"/>
          <w:sz w:val="32"/>
          <w:szCs w:val="32"/>
          <w:highlight w:val="none"/>
          <w:shd w:val="clear" w:color="auto" w:fill="FFFFFF"/>
          <w:lang w:val="en-US" w:eastAsia="zh-CN"/>
        </w:rPr>
        <w:t>在2025年预算执行过程中，严格按照预算绩效目标使用资金，自评中未发现部门预算阶段项目实际列支内容与绩效目标不相符的情况。同时，在项目实施过程中，对项目实施情况进行动态绩效监控，针对部分项目绩效目标发生变化的，均按照相关要求对项目绩效目标及时进行了相应调整。不存在应采取未采取收回预算、调整目标等处置措施的情况，各预算项目年终均无结余。</w:t>
      </w:r>
      <w:r>
        <w:rPr>
          <w:rFonts w:hint="eastAsia" w:ascii="Times New Roman" w:hAnsi="Times New Roman" w:eastAsia="方正仿宋_GBK" w:cs="方正仿宋_GBK"/>
          <w:snapToGrid w:val="0"/>
          <w:kern w:val="0"/>
          <w:sz w:val="32"/>
          <w:szCs w:val="32"/>
          <w:lang w:val="en-US" w:eastAsia="zh-CN"/>
        </w:rPr>
        <w:t>按照评分口径测算，自评得分12分。</w:t>
      </w:r>
    </w:p>
    <w:p w14:paraId="56DF170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eastAsia" w:ascii="Times New Roman" w:hAnsi="Times New Roman" w:eastAsia="方正仿宋_GBK" w:cs="方正仿宋_GBK"/>
          <w:b w:val="0"/>
          <w:bCs w:val="0"/>
          <w:snapToGrid w:val="0"/>
          <w:color w:val="000000"/>
          <w:kern w:val="0"/>
          <w:sz w:val="32"/>
          <w:szCs w:val="32"/>
          <w:highlight w:val="none"/>
          <w:shd w:val="clear" w:color="auto" w:fill="FFFFFF"/>
          <w:lang w:val="zh-CN" w:eastAsia="zh-CN"/>
        </w:rPr>
      </w:pPr>
      <w:r>
        <w:rPr>
          <w:rFonts w:hint="eastAsia" w:ascii="Times New Roman" w:hAnsi="Times New Roman" w:eastAsia="方正仿宋_GBK" w:cs="方正仿宋_GBK"/>
          <w:b w:val="0"/>
          <w:bCs w:val="0"/>
          <w:snapToGrid w:val="0"/>
          <w:color w:val="000000"/>
          <w:kern w:val="0"/>
          <w:sz w:val="32"/>
          <w:szCs w:val="32"/>
          <w:highlight w:val="none"/>
          <w:shd w:val="clear" w:color="auto" w:fill="FFFFFF"/>
          <w:lang w:val="en-US" w:eastAsia="zh-CN"/>
        </w:rPr>
        <w:t>3.</w:t>
      </w:r>
      <w:r>
        <w:rPr>
          <w:rFonts w:hint="eastAsia" w:ascii="Times New Roman" w:hAnsi="Times New Roman" w:eastAsia="方正仿宋_GBK" w:cs="方正仿宋_GBK"/>
          <w:b/>
          <w:bCs/>
          <w:snapToGrid w:val="0"/>
          <w:color w:val="000000"/>
          <w:kern w:val="0"/>
          <w:sz w:val="32"/>
          <w:szCs w:val="32"/>
          <w:highlight w:val="none"/>
          <w:shd w:val="clear" w:color="auto" w:fill="FFFFFF"/>
          <w:lang w:val="zh-CN" w:eastAsia="zh-CN"/>
        </w:rPr>
        <w:t>目标实现</w:t>
      </w:r>
      <w:r>
        <w:rPr>
          <w:rFonts w:hint="eastAsia" w:ascii="Times New Roman" w:hAnsi="Times New Roman" w:eastAsia="方正仿宋_GBK" w:cs="方正仿宋_GBK"/>
          <w:b w:val="0"/>
          <w:bCs w:val="0"/>
          <w:snapToGrid w:val="0"/>
          <w:color w:val="000000"/>
          <w:kern w:val="0"/>
          <w:sz w:val="32"/>
          <w:szCs w:val="32"/>
          <w:highlight w:val="none"/>
          <w:shd w:val="clear" w:color="auto" w:fill="FFFFFF"/>
          <w:lang w:val="zh-CN" w:eastAsia="zh-CN"/>
        </w:rPr>
        <w:t>。（总分</w:t>
      </w:r>
      <w:r>
        <w:rPr>
          <w:rFonts w:hint="eastAsia" w:ascii="Times New Roman" w:hAnsi="Times New Roman" w:eastAsia="方正仿宋_GBK" w:cs="方正仿宋_GBK"/>
          <w:b w:val="0"/>
          <w:bCs w:val="0"/>
          <w:snapToGrid w:val="0"/>
          <w:color w:val="000000"/>
          <w:kern w:val="0"/>
          <w:sz w:val="32"/>
          <w:szCs w:val="32"/>
          <w:highlight w:val="none"/>
          <w:shd w:val="clear" w:color="auto" w:fill="FFFFFF"/>
          <w:lang w:val="en-US" w:eastAsia="zh-CN"/>
        </w:rPr>
        <w:t>11分，自评得分11分</w:t>
      </w:r>
      <w:r>
        <w:rPr>
          <w:rFonts w:hint="eastAsia" w:ascii="Times New Roman" w:hAnsi="Times New Roman" w:eastAsia="方正仿宋_GBK" w:cs="方正仿宋_GBK"/>
          <w:b w:val="0"/>
          <w:bCs w:val="0"/>
          <w:snapToGrid w:val="0"/>
          <w:color w:val="000000"/>
          <w:kern w:val="0"/>
          <w:sz w:val="32"/>
          <w:szCs w:val="32"/>
          <w:highlight w:val="none"/>
          <w:shd w:val="clear" w:color="auto" w:fill="FFFFFF"/>
          <w:lang w:val="zh-CN" w:eastAsia="zh-CN"/>
        </w:rPr>
        <w:t>）</w:t>
      </w:r>
    </w:p>
    <w:p w14:paraId="1EDF6C61">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color w:val="000000"/>
          <w:kern w:val="0"/>
          <w:sz w:val="32"/>
          <w:szCs w:val="32"/>
          <w:highlight w:val="none"/>
          <w:shd w:val="clear" w:color="auto" w:fill="FFFFFF"/>
          <w:lang w:val="zh-CN" w:eastAsia="zh-CN"/>
        </w:rPr>
      </w:pPr>
      <w:r>
        <w:rPr>
          <w:rFonts w:hint="eastAsia" w:ascii="Times New Roman" w:hAnsi="Times New Roman" w:eastAsia="方正仿宋_GBK" w:cs="方正仿宋_GBK"/>
          <w:snapToGrid w:val="0"/>
          <w:color w:val="000000"/>
          <w:kern w:val="0"/>
          <w:sz w:val="32"/>
          <w:szCs w:val="32"/>
          <w:highlight w:val="none"/>
          <w:shd w:val="clear" w:color="auto" w:fill="FFFFFF"/>
          <w:lang w:val="en-US" w:eastAsia="zh-CN"/>
        </w:rPr>
        <w:t>一是数量指标完成情况。2025年5个设定了数量指标的阶段项目均完成了指标任务，数量指标完成率为 100%。二是数量指标偏离情况。4个完成了数量指标的阶段项目数量指标完成偏离度均小于 30%。三是效益指标完成情况。6 个设定了效益指标的阶段项目均达到了预期实施效果，效益指标完成率为 100%。</w:t>
      </w:r>
      <w:r>
        <w:rPr>
          <w:rFonts w:hint="eastAsia" w:ascii="Times New Roman" w:hAnsi="Times New Roman" w:eastAsia="方正仿宋_GBK" w:cs="方正仿宋_GBK"/>
          <w:snapToGrid w:val="0"/>
          <w:kern w:val="0"/>
          <w:sz w:val="32"/>
          <w:szCs w:val="32"/>
          <w:highlight w:val="none"/>
          <w:lang w:val="en-US" w:eastAsia="zh-CN"/>
        </w:rPr>
        <w:t>按照</w:t>
      </w:r>
      <w:r>
        <w:rPr>
          <w:rFonts w:hint="eastAsia" w:ascii="Times New Roman" w:hAnsi="Times New Roman" w:eastAsia="方正仿宋_GBK" w:cs="方正仿宋_GBK"/>
          <w:snapToGrid w:val="0"/>
          <w:kern w:val="0"/>
          <w:sz w:val="32"/>
          <w:szCs w:val="32"/>
          <w:lang w:val="en-US" w:eastAsia="zh-CN"/>
        </w:rPr>
        <w:t>评分口径测算，自评得分11分。</w:t>
      </w:r>
    </w:p>
    <w:p w14:paraId="3B5DF8C3">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楷体_GBK" w:cs="方正楷体_GBK"/>
          <w:b w:val="0"/>
          <w:bCs w:val="0"/>
          <w:snapToGrid w:val="0"/>
          <w:color w:val="auto"/>
          <w:kern w:val="0"/>
          <w:sz w:val="32"/>
          <w:szCs w:val="32"/>
          <w:shd w:val="clear" w:color="auto" w:fill="FFFFFF"/>
          <w:lang w:val="zh-CN" w:eastAsia="zh-CN"/>
        </w:rPr>
      </w:pPr>
      <w:r>
        <w:rPr>
          <w:rFonts w:hint="eastAsia" w:ascii="Times New Roman" w:hAnsi="Times New Roman" w:eastAsia="方正楷体_GBK" w:cs="方正楷体_GBK"/>
          <w:b w:val="0"/>
          <w:bCs w:val="0"/>
          <w:snapToGrid w:val="0"/>
          <w:color w:val="auto"/>
          <w:kern w:val="0"/>
          <w:sz w:val="32"/>
          <w:szCs w:val="32"/>
          <w:shd w:val="clear" w:color="auto" w:fill="FFFFFF"/>
          <w:lang w:val="zh-CN" w:eastAsia="zh-CN"/>
        </w:rPr>
        <w:t>（三）绩效结果应用情况。</w:t>
      </w:r>
    </w:p>
    <w:p w14:paraId="5BE6D90E">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color w:val="000000"/>
          <w:kern w:val="0"/>
          <w:sz w:val="32"/>
          <w:szCs w:val="32"/>
          <w:highlight w:val="none"/>
          <w:shd w:val="clear" w:color="auto" w:fill="FFFFFF"/>
          <w:lang w:val="en-US" w:eastAsia="zh-CN"/>
        </w:rPr>
      </w:pPr>
      <w:r>
        <w:rPr>
          <w:rFonts w:hint="eastAsia" w:ascii="Times New Roman" w:hAnsi="Times New Roman" w:eastAsia="方正仿宋_GBK" w:cs="方正仿宋_GBK"/>
          <w:snapToGrid w:val="0"/>
          <w:color w:val="000000"/>
          <w:kern w:val="0"/>
          <w:sz w:val="32"/>
          <w:szCs w:val="32"/>
          <w:highlight w:val="none"/>
          <w:shd w:val="clear" w:color="auto" w:fill="FFFFFF"/>
          <w:lang w:val="en-US" w:eastAsia="zh-CN"/>
        </w:rPr>
        <w:t>在预算事前绩效评估、绩效监控和自评结果应用的基础上，积极探索绩效目标审核结果与预算安排挂钩机制，敦促各科室、单位履行绩效管理主体责任，提高绩效目标编报质量。同时，在部门预决算信息公开中涵盖预算绩效目标情况，自觉接受社会公众监督，提高财政资金管理透明度。</w:t>
      </w:r>
    </w:p>
    <w:p w14:paraId="1E734C78">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黑体_GBK" w:cs="方正黑体_GBK"/>
          <w:b w:val="0"/>
          <w:bCs w:val="0"/>
          <w:snapToGrid w:val="0"/>
          <w:color w:val="auto"/>
          <w:kern w:val="0"/>
          <w:sz w:val="32"/>
          <w:szCs w:val="32"/>
          <w:shd w:val="clear" w:color="auto" w:fill="FFFFFF"/>
          <w:lang w:val="en-US" w:eastAsia="zh-CN"/>
        </w:rPr>
      </w:pPr>
      <w:r>
        <w:rPr>
          <w:rFonts w:hint="eastAsia" w:ascii="Times New Roman" w:hAnsi="Times New Roman" w:eastAsia="方正黑体_GBK" w:cs="方正黑体_GBK"/>
          <w:b w:val="0"/>
          <w:bCs w:val="0"/>
          <w:snapToGrid w:val="0"/>
          <w:color w:val="auto"/>
          <w:kern w:val="0"/>
          <w:sz w:val="32"/>
          <w:szCs w:val="32"/>
          <w:shd w:val="clear" w:color="auto" w:fill="FFFFFF"/>
          <w:lang w:val="en-US" w:eastAsia="zh-CN"/>
        </w:rPr>
        <w:t>四、2025年财政重点评价或部门自评发现问题整改情况</w:t>
      </w:r>
    </w:p>
    <w:p w14:paraId="11789CA5">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ascii="Times New Roman" w:hAnsi="Times New Roman" w:eastAsia="方正仿宋_GBK" w:cs="方正仿宋_GBK"/>
          <w:snapToGrid w:val="0"/>
          <w:color w:val="000000"/>
          <w:kern w:val="0"/>
          <w:sz w:val="32"/>
          <w:szCs w:val="32"/>
          <w:shd w:val="clear" w:color="auto" w:fill="FFFFFF"/>
          <w:lang w:val="en-US" w:eastAsia="zh-CN"/>
        </w:rPr>
      </w:pPr>
      <w:r>
        <w:rPr>
          <w:rFonts w:hint="eastAsia" w:ascii="Times New Roman" w:hAnsi="Times New Roman" w:eastAsia="方正仿宋_GBK" w:cs="方正仿宋_GBK"/>
          <w:snapToGrid w:val="0"/>
          <w:color w:val="000000"/>
          <w:kern w:val="0"/>
          <w:sz w:val="32"/>
          <w:szCs w:val="32"/>
          <w:shd w:val="clear" w:color="auto" w:fill="FFFFFF"/>
          <w:lang w:val="en-US" w:eastAsia="zh-CN"/>
        </w:rPr>
        <w:t>2025年5月，市委宣传部开展了2024年度部门整体支出绩效自评工作，自评得分94分，自评发现的两个问题已进行整改，并按要求向市财政局报送了整改情况。</w:t>
      </w:r>
    </w:p>
    <w:p w14:paraId="63726773">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黑体_GBK" w:cs="方正黑体_GBK"/>
          <w:b w:val="0"/>
          <w:bCs w:val="0"/>
          <w:snapToGrid w:val="0"/>
          <w:color w:val="auto"/>
          <w:kern w:val="0"/>
          <w:sz w:val="32"/>
          <w:szCs w:val="32"/>
          <w:highlight w:val="none"/>
          <w:shd w:val="clear" w:color="auto" w:fill="FFFFFF"/>
          <w:lang w:val="zh-CN" w:eastAsia="zh-CN"/>
        </w:rPr>
      </w:pPr>
      <w:r>
        <w:rPr>
          <w:rFonts w:hint="eastAsia" w:ascii="Times New Roman" w:hAnsi="Times New Roman" w:eastAsia="方正黑体_GBK" w:cs="方正黑体_GBK"/>
          <w:b w:val="0"/>
          <w:bCs w:val="0"/>
          <w:snapToGrid w:val="0"/>
          <w:color w:val="auto"/>
          <w:kern w:val="0"/>
          <w:sz w:val="32"/>
          <w:szCs w:val="32"/>
          <w:highlight w:val="none"/>
          <w:shd w:val="clear" w:color="auto" w:fill="FFFFFF"/>
          <w:lang w:val="en-US" w:eastAsia="zh-CN"/>
        </w:rPr>
        <w:t>五、评价结论及建议</w:t>
      </w:r>
    </w:p>
    <w:p w14:paraId="3EA2E633">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楷体_GBK" w:cs="方正楷体_GBK"/>
          <w:b w:val="0"/>
          <w:bCs w:val="0"/>
          <w:snapToGrid w:val="0"/>
          <w:color w:val="auto"/>
          <w:kern w:val="0"/>
          <w:sz w:val="32"/>
          <w:szCs w:val="32"/>
          <w:shd w:val="clear" w:color="auto" w:fill="FFFFFF"/>
          <w:lang w:val="en-US" w:eastAsia="zh-CN"/>
        </w:rPr>
      </w:pPr>
      <w:r>
        <w:rPr>
          <w:rFonts w:hint="eastAsia" w:ascii="Times New Roman" w:hAnsi="Times New Roman" w:eastAsia="方正楷体_GBK" w:cs="方正楷体_GBK"/>
          <w:b w:val="0"/>
          <w:bCs w:val="0"/>
          <w:snapToGrid w:val="0"/>
          <w:color w:val="auto"/>
          <w:kern w:val="0"/>
          <w:sz w:val="32"/>
          <w:szCs w:val="32"/>
          <w:shd w:val="clear" w:color="auto" w:fill="FFFFFF"/>
          <w:lang w:val="en-US" w:eastAsia="zh-CN"/>
        </w:rPr>
        <w:t>（一）评价结论</w:t>
      </w:r>
    </w:p>
    <w:p w14:paraId="54996F86">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zh-CN" w:eastAsia="zh-CN"/>
        </w:rPr>
        <w:t>对照部门预算绩效自评体系</w:t>
      </w:r>
      <w:r>
        <w:rPr>
          <w:rFonts w:hint="eastAsia" w:ascii="Times New Roman" w:hAnsi="Times New Roman" w:eastAsia="方正仿宋_GBK" w:cs="方正仿宋_GBK"/>
          <w:snapToGrid w:val="0"/>
          <w:kern w:val="0"/>
          <w:sz w:val="32"/>
          <w:szCs w:val="32"/>
          <w:lang w:val="en-US" w:eastAsia="zh-CN"/>
        </w:rPr>
        <w:t>逐项分析打分</w:t>
      </w:r>
      <w:r>
        <w:rPr>
          <w:rFonts w:hint="eastAsia" w:ascii="Times New Roman" w:hAnsi="Times New Roman" w:eastAsia="方正仿宋_GBK" w:cs="方正仿宋_GBK"/>
          <w:snapToGrid w:val="0"/>
          <w:kern w:val="0"/>
          <w:sz w:val="32"/>
          <w:szCs w:val="32"/>
          <w:lang w:val="zh-CN" w:eastAsia="zh-CN"/>
        </w:rPr>
        <w:t>，</w:t>
      </w:r>
      <w:r>
        <w:rPr>
          <w:rFonts w:hint="eastAsia" w:ascii="Times New Roman" w:hAnsi="Times New Roman" w:eastAsia="方正仿宋_GBK" w:cs="方正仿宋_GBK"/>
          <w:snapToGrid w:val="0"/>
          <w:kern w:val="0"/>
          <w:sz w:val="32"/>
          <w:szCs w:val="32"/>
          <w:lang w:val="en-US" w:eastAsia="zh-CN"/>
        </w:rPr>
        <w:t>2025年度部门预算绩效自评得分95.21分，整体支出绩效目标与年初预算申报的绩效目标基本相符，圆满完成各项目标任务，达到了预期的效果。</w:t>
      </w:r>
    </w:p>
    <w:p w14:paraId="4C4476FD">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楷体_GBK" w:cs="方正楷体_GBK"/>
          <w:b w:val="0"/>
          <w:bCs w:val="0"/>
          <w:snapToGrid w:val="0"/>
          <w:color w:val="auto"/>
          <w:kern w:val="0"/>
          <w:sz w:val="32"/>
          <w:szCs w:val="32"/>
          <w:highlight w:val="none"/>
          <w:shd w:val="clear" w:color="auto" w:fill="FFFFFF"/>
          <w:lang w:val="en-US" w:eastAsia="zh-CN"/>
        </w:rPr>
      </w:pPr>
      <w:r>
        <w:rPr>
          <w:rFonts w:hint="eastAsia" w:ascii="Times New Roman" w:hAnsi="Times New Roman" w:eastAsia="方正楷体_GBK" w:cs="方正楷体_GBK"/>
          <w:b w:val="0"/>
          <w:bCs w:val="0"/>
          <w:snapToGrid w:val="0"/>
          <w:color w:val="auto"/>
          <w:kern w:val="0"/>
          <w:sz w:val="32"/>
          <w:szCs w:val="32"/>
          <w:highlight w:val="none"/>
          <w:shd w:val="clear" w:color="auto" w:fill="FFFFFF"/>
          <w:lang w:val="en-US" w:eastAsia="zh-CN"/>
        </w:rPr>
        <w:t>（二）存在问题</w:t>
      </w:r>
    </w:p>
    <w:p w14:paraId="3FE2748D">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contextualSpacing/>
        <w:jc w:val="both"/>
        <w:textAlignment w:val="auto"/>
        <w:rPr>
          <w:rFonts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rPr>
        <w:t>一是绩效目标编制质量还有待提高。目前，部门预算绩效指标还存在绩效目标权重设置不规范、定性指标设置较多、定量指标设置不够等问题。</w:t>
      </w:r>
      <w:r>
        <w:rPr>
          <w:rFonts w:hint="eastAsia" w:ascii="Times New Roman" w:hAnsi="Times New Roman" w:eastAsia="方正仿宋_GBK" w:cs="方正仿宋_GBK"/>
          <w:snapToGrid w:val="0"/>
          <w:kern w:val="0"/>
          <w:sz w:val="32"/>
          <w:szCs w:val="32"/>
          <w:lang w:val="en-US" w:eastAsia="zh-CN"/>
        </w:rPr>
        <w:t>二是预算执行进度不均衡。支付呈现出“前慢后快”的节奏，多项经费集中于下半年甚至年末支付。</w:t>
      </w:r>
    </w:p>
    <w:p w14:paraId="0BC8F1A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eastAsia" w:ascii="Times New Roman" w:hAnsi="Times New Roman" w:eastAsia="方正楷体_GBK" w:cs="方正楷体_GBK"/>
          <w:b w:val="0"/>
          <w:bCs w:val="0"/>
          <w:snapToGrid w:val="0"/>
          <w:color w:val="auto"/>
          <w:kern w:val="0"/>
          <w:sz w:val="32"/>
          <w:szCs w:val="32"/>
          <w:shd w:val="clear" w:color="auto" w:fill="FFFFFF"/>
          <w:lang w:val="en-US" w:eastAsia="zh-CN"/>
        </w:rPr>
      </w:pPr>
      <w:r>
        <w:rPr>
          <w:rFonts w:hint="eastAsia" w:ascii="Times New Roman" w:hAnsi="Times New Roman" w:eastAsia="方正楷体_GBK" w:cs="方正楷体_GBK"/>
          <w:b w:val="0"/>
          <w:bCs w:val="0"/>
          <w:snapToGrid w:val="0"/>
          <w:color w:val="auto"/>
          <w:kern w:val="0"/>
          <w:sz w:val="32"/>
          <w:szCs w:val="32"/>
          <w:shd w:val="clear" w:color="auto" w:fill="FFFFFF"/>
          <w:lang w:val="en-US" w:eastAsia="zh-CN"/>
        </w:rPr>
        <w:t>（三）改进建议</w:t>
      </w:r>
    </w:p>
    <w:p w14:paraId="742B8158">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contextualSpacing/>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rPr>
        <w:t>一是加强绩效目标编制。按规定对绩效目标进行集体审议，从程序上加强对绩效目标编制的重视；将绩效目标编制工作当作重要工作来抓，强化绩效目标的前期编制工作，提高绩效目标编制的科学性、合理性、准确性、完整性</w:t>
      </w:r>
      <w:r>
        <w:rPr>
          <w:rFonts w:hint="eastAsia" w:ascii="Times New Roman" w:hAnsi="Times New Roman" w:eastAsia="方正仿宋_GBK" w:cs="方正仿宋_GBK"/>
          <w:snapToGrid w:val="0"/>
          <w:kern w:val="0"/>
          <w:sz w:val="32"/>
          <w:szCs w:val="32"/>
          <w:lang w:val="en-US" w:eastAsia="zh-CN"/>
        </w:rPr>
        <w:t>和</w:t>
      </w:r>
      <w:r>
        <w:rPr>
          <w:rFonts w:hint="eastAsia" w:ascii="Times New Roman" w:hAnsi="Times New Roman" w:eastAsia="方正仿宋_GBK" w:cs="方正仿宋_GBK"/>
          <w:snapToGrid w:val="0"/>
          <w:kern w:val="0"/>
          <w:sz w:val="32"/>
          <w:szCs w:val="32"/>
          <w:lang w:val="en-US"/>
        </w:rPr>
        <w:t>可执行性。</w:t>
      </w:r>
      <w:r>
        <w:rPr>
          <w:rFonts w:hint="eastAsia" w:ascii="Times New Roman" w:hAnsi="Times New Roman" w:eastAsia="方正仿宋_GBK" w:cs="方正仿宋_GBK"/>
          <w:snapToGrid w:val="0"/>
          <w:kern w:val="0"/>
          <w:sz w:val="32"/>
          <w:szCs w:val="32"/>
          <w:lang w:val="en-US" w:eastAsia="zh-CN"/>
        </w:rPr>
        <w:t>二是抓好预算执行管理。抓好事中绩效运行监控，严格按要求开展绩效运行监控，及时进行自查自纠、核实反馈， “点对点”核查整改监控疑点。强化报销时点管理，严格督促各用款科室、单位及时报销公务开支，原则上不得年底集中报销或跨年报销，提升预算资金使用效率。同时，强化预算调剂的及时性和准确性，科学预测年度资金使用情况，及时按规定做好预算调剂和预算绩效目标调整，优化预算执行效果。</w:t>
      </w:r>
    </w:p>
    <w:p w14:paraId="4E770A2A">
      <w:pPr>
        <w:pStyle w:val="13"/>
        <w:rPr>
          <w:rFonts w:hint="eastAsia"/>
          <w:lang w:val="en-US" w:eastAsia="zh-CN"/>
        </w:rPr>
      </w:pPr>
    </w:p>
    <w:p w14:paraId="5ADD5856">
      <w:pPr>
        <w:pStyle w:val="7"/>
        <w:spacing w:line="560" w:lineRule="exact"/>
        <w:ind w:left="0" w:leftChars="0" w:firstLine="480" w:firstLineChars="150"/>
        <w:rPr>
          <w:rFonts w:ascii="Times New Roman" w:hAnsi="Times New Roman" w:eastAsia="黑体" w:cs="黑体"/>
          <w:kern w:val="2"/>
          <w:sz w:val="32"/>
          <w:szCs w:val="32"/>
          <w:lang w:val="en-US" w:eastAsia="zh-CN"/>
        </w:rPr>
        <w:sectPr>
          <w:footerReference r:id="rId7" w:type="default"/>
          <w:pgSz w:w="11906" w:h="16838"/>
          <w:pgMar w:top="2098" w:right="1474" w:bottom="1984" w:left="1587" w:header="851" w:footer="1417" w:gutter="0"/>
          <w:cols w:space="720" w:num="1"/>
          <w:rtlGutter w:val="1"/>
          <w:docGrid w:type="lines" w:linePitch="440" w:charSpace="0"/>
        </w:sectPr>
      </w:pPr>
      <w:r>
        <w:rPr>
          <w:rFonts w:ascii="Times New Roman" w:hAnsi="Times New Roman" w:eastAsia="仿宋_GB2312"/>
          <w:sz w:val="32"/>
          <w:highlight w:val="none"/>
          <w:lang w:val="zh-CN"/>
        </w:rPr>
        <w:t>附表：</w:t>
      </w:r>
      <w:r>
        <w:rPr>
          <w:rFonts w:ascii="Times New Roman" w:hAnsi="Times New Roman" w:eastAsia="仿宋_GB2312"/>
          <w:sz w:val="32"/>
          <w:highlight w:val="none"/>
        </w:rPr>
        <w:t>部门预算项目支出绩效自评表（202</w:t>
      </w:r>
      <w:r>
        <w:rPr>
          <w:rFonts w:hint="eastAsia" w:ascii="Times New Roman" w:hAnsi="Times New Roman" w:eastAsia="仿宋_GB2312"/>
          <w:sz w:val="32"/>
          <w:highlight w:val="none"/>
          <w:lang w:val="en-US" w:eastAsia="zh-CN"/>
        </w:rPr>
        <w:t>5</w:t>
      </w:r>
      <w:r>
        <w:rPr>
          <w:rFonts w:ascii="Times New Roman" w:hAnsi="Times New Roman" w:eastAsia="仿宋_GB2312"/>
          <w:sz w:val="32"/>
          <w:highlight w:val="none"/>
        </w:rPr>
        <w:t>年度）</w:t>
      </w:r>
    </w:p>
    <w:p w14:paraId="2030C3D7">
      <w:pPr>
        <w:spacing w:line="600" w:lineRule="exact"/>
        <w:jc w:val="center"/>
        <w:outlineLvl w:val="0"/>
        <w:rPr>
          <w:rStyle w:val="20"/>
          <w:rFonts w:ascii="黑体" w:eastAsia="黑体"/>
          <w:b w:val="0"/>
          <w:color w:val="auto"/>
          <w:highlight w:val="none"/>
        </w:rPr>
      </w:pPr>
      <w:r>
        <w:rPr>
          <w:rFonts w:hint="eastAsia" w:ascii="黑体" w:eastAsia="黑体"/>
          <w:color w:val="auto"/>
          <w:sz w:val="44"/>
          <w:szCs w:val="44"/>
          <w:highlight w:val="none"/>
        </w:rPr>
        <w:t>第</w:t>
      </w:r>
      <w:r>
        <w:rPr>
          <w:rStyle w:val="20"/>
          <w:rFonts w:hint="eastAsia" w:ascii="黑体" w:eastAsia="黑体"/>
          <w:b w:val="0"/>
          <w:color w:val="auto"/>
          <w:highlight w:val="none"/>
        </w:rPr>
        <w:t>四部分 附件</w:t>
      </w:r>
    </w:p>
    <w:p w14:paraId="290C0DBC">
      <w:pPr>
        <w:keepNext w:val="0"/>
        <w:keepLines w:val="0"/>
        <w:widowControl w:val="0"/>
        <w:suppressLineNumbers w:val="0"/>
        <w:autoSpaceDE w:val="0"/>
        <w:autoSpaceDN/>
        <w:spacing w:before="0" w:beforeAutospacing="0" w:after="0" w:afterAutospacing="0" w:line="578" w:lineRule="exact"/>
        <w:ind w:left="0" w:right="0"/>
        <w:jc w:val="left"/>
        <w:rPr>
          <w:rFonts w:ascii="Times New Roman" w:hAnsi="Times New Roman" w:eastAsia="方正小标宋简体" w:cs="Times New Roman"/>
          <w:color w:val="000000"/>
          <w:kern w:val="0"/>
          <w:sz w:val="44"/>
          <w:szCs w:val="44"/>
          <w:lang w:val="en-US" w:eastAsia="zh-CN"/>
        </w:rPr>
      </w:pPr>
      <w:r>
        <w:rPr>
          <w:rFonts w:ascii="Times New Roman" w:hAnsi="Times New Roman" w:eastAsia="方正小标宋简体" w:cs="Times New Roman"/>
          <w:color w:val="000000"/>
          <w:kern w:val="0"/>
          <w:sz w:val="44"/>
          <w:szCs w:val="44"/>
          <w:lang w:val="en-US" w:eastAsia="zh-CN"/>
        </w:rPr>
        <w:t xml:space="preserve"> </w:t>
      </w:r>
    </w:p>
    <w:tbl>
      <w:tblPr>
        <w:tblStyle w:val="16"/>
        <w:tblW w:w="127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4"/>
        <w:gridCol w:w="3"/>
        <w:gridCol w:w="1511"/>
        <w:gridCol w:w="41"/>
        <w:gridCol w:w="1647"/>
        <w:gridCol w:w="80"/>
        <w:gridCol w:w="2072"/>
        <w:gridCol w:w="137"/>
        <w:gridCol w:w="376"/>
        <w:gridCol w:w="140"/>
        <w:gridCol w:w="1022"/>
        <w:gridCol w:w="151"/>
        <w:gridCol w:w="703"/>
        <w:gridCol w:w="96"/>
        <w:gridCol w:w="1003"/>
        <w:gridCol w:w="68"/>
        <w:gridCol w:w="445"/>
        <w:gridCol w:w="62"/>
        <w:gridCol w:w="556"/>
        <w:gridCol w:w="52"/>
        <w:gridCol w:w="2040"/>
      </w:tblGrid>
      <w:tr w14:paraId="3DB15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517E">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7DCF1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4241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2020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51190025T000013171119-2025年年初部门预算特定目标类项目203001市委宣传部外宣工作经费</w:t>
            </w:r>
          </w:p>
        </w:tc>
      </w:tr>
      <w:tr w14:paraId="13950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8385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625D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167A17E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643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4BBFD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9A2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D597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555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99C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238EC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B203E"/>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7A37B"/>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49E8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在人民日报、中央电视台、光明日报、经济日报、四川日报等中央省级主流媒体平台推出展示巴中高质量发展、文旅康养首位产业发展、百姓幸福生活的重头作品，讲好巴中故事，展示好巴中形象，为一市四地三区建设提供强在精神力量。在海外社交平台（推特、脸谱、优兔）等开通巴中账号，与新加坡等地华文媒体合作，常态推出巴中城市底蕴、文化内涵、风土人情、风景名胜等视频、图文产品，完成省委目标考核任务，扩大巴中国际传播影响力</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BE36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在人民日报、中央电视台、光明日报、经济日报、四川日报等中央省级主流媒体平台推出展示巴中高质量发展、文旅康养首位产业发展、百姓幸福生活的重头作品，讲好巴中故事，展示好巴中形象，为一市四地三区建设提供强在精神力量。在海外社交平台（推特、脸谱、优兔）等开通巴中账号，与新加坡等地华文媒体合作，常态推出巴中城市底蕴、文化内涵、风土人情、风景名胜等视频、图文产品，完成省委目标考核任务，扩大巴中国际传播影响力。</w:t>
            </w:r>
          </w:p>
        </w:tc>
      </w:tr>
      <w:tr w14:paraId="4A67D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E51D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4C90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79BD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对外宣传工作紧扣市委中心工作，先后策划开展了市“两会”、经济工作推进会、市委全会、第十二届巴人文化艺术节、中华龙舟赛等重大会议活动策划35个，特别是清明节期间，《新华每日电讯》头版头条以8000余字整版刊发《清明寻访江山石》，报道川陕革命根据地历史与奋斗历程，实现历史性突破。深度参与首届全国青少年科普视听大会、全国摄影工作会、中华龙舟大赛（巴中恩阳站）、第十二届巴人文化艺术节、2025TAT亚洲篮球巡回锦标赛、首届肉牛全产业链高质量发展会等重大活动的宣传策划与执行。科普视听大会期间，统筹47家中省主流媒体推出190篇报道，全网浏览量达7.3亿。中华龙舟大赛直播时长4小时，单场观看量突破800万，赛事总曝光量超10亿人次，微博话题阅读量过亿并登上热搜。光雾山红叶期间，宣传吸引全球百余家海外媒体报道，全网触达超2亿人次。</w:t>
            </w:r>
          </w:p>
        </w:tc>
      </w:tr>
      <w:tr w14:paraId="431D3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CA4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04A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28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A7C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F82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A9C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497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E75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885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6243B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A27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96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CD8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44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229.70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2C3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229.70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CBA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537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C47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1F1B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18BE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6F8F1"/>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416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797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14A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229.70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44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229.70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60E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3C9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2A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BC0BF"/>
        </w:tc>
      </w:tr>
      <w:tr w14:paraId="7CFC7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0261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570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601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E79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461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100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B6A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9FE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29658"/>
        </w:tc>
      </w:tr>
      <w:tr w14:paraId="29E29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AACB0"/>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83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7C5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9B1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5CF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EF2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E8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637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CD66D"/>
        </w:tc>
      </w:tr>
      <w:tr w14:paraId="0A241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F05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1D4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4F398">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0AC7">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0651C">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D9A0">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39D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282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2F96A"/>
        </w:tc>
      </w:tr>
      <w:tr w14:paraId="2143E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5C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836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2DE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E7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99F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E84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649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9F7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C03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A5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5D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78DBB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F7019"/>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E05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0D9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6D2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四川日报12期巴中专刊</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7D9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7EA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07C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期</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99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CF2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D1B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5736">
            <w:pPr>
              <w:jc w:val="center"/>
              <w:rPr>
                <w:rFonts w:hint="eastAsia" w:ascii="宋体" w:eastAsia="宋体" w:cs="宋体"/>
                <w:i w:val="0"/>
                <w:iCs w:val="0"/>
                <w:color w:val="000000"/>
                <w:sz w:val="20"/>
                <w:szCs w:val="20"/>
                <w:u w:val="none"/>
              </w:rPr>
            </w:pPr>
          </w:p>
        </w:tc>
      </w:tr>
      <w:tr w14:paraId="7925C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0D15A"/>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D18A9"/>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68922"/>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380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中央、省级刊发巴中重头稿件、市委领导署名文章</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FCC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799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D24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C17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D93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259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50E46">
            <w:pPr>
              <w:jc w:val="center"/>
              <w:rPr>
                <w:rFonts w:hint="eastAsia" w:ascii="宋体" w:eastAsia="宋体" w:cs="宋体"/>
                <w:i w:val="0"/>
                <w:iCs w:val="0"/>
                <w:color w:val="000000"/>
                <w:sz w:val="20"/>
                <w:szCs w:val="20"/>
                <w:u w:val="none"/>
              </w:rPr>
            </w:pPr>
          </w:p>
        </w:tc>
      </w:tr>
      <w:tr w14:paraId="6A027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05E5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4BE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A3B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98E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提振干部群众干事创业的信心决心</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C37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EB8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BB6A8">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97E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CDF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75C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DD9E4">
            <w:pPr>
              <w:jc w:val="center"/>
              <w:rPr>
                <w:rFonts w:hint="eastAsia" w:ascii="宋体" w:eastAsia="宋体" w:cs="宋体"/>
                <w:i w:val="0"/>
                <w:iCs w:val="0"/>
                <w:color w:val="000000"/>
                <w:sz w:val="20"/>
                <w:szCs w:val="20"/>
                <w:u w:val="none"/>
              </w:rPr>
            </w:pPr>
          </w:p>
        </w:tc>
      </w:tr>
      <w:tr w14:paraId="7E576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2B4F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C2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637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9E8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市民满意度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681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C1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CBED8">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7D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831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D7B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80937">
            <w:pPr>
              <w:jc w:val="center"/>
              <w:rPr>
                <w:rFonts w:hint="eastAsia" w:ascii="宋体" w:eastAsia="宋体" w:cs="宋体"/>
                <w:i w:val="0"/>
                <w:iCs w:val="0"/>
                <w:color w:val="000000"/>
                <w:sz w:val="20"/>
                <w:szCs w:val="20"/>
                <w:u w:val="none"/>
              </w:rPr>
            </w:pPr>
          </w:p>
        </w:tc>
      </w:tr>
      <w:tr w14:paraId="26290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1E2A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EFD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4A1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05A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908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E86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6EB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C9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ABD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FC1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A65F8">
            <w:pPr>
              <w:jc w:val="center"/>
              <w:rPr>
                <w:rFonts w:hint="eastAsia" w:ascii="宋体" w:eastAsia="宋体" w:cs="宋体"/>
                <w:i w:val="0"/>
                <w:iCs w:val="0"/>
                <w:color w:val="000000"/>
                <w:sz w:val="20"/>
                <w:szCs w:val="20"/>
                <w:u w:val="none"/>
              </w:rPr>
            </w:pPr>
          </w:p>
        </w:tc>
      </w:tr>
      <w:tr w14:paraId="647AD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D9C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0AF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11F14">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1826">
            <w:pPr>
              <w:rPr>
                <w:rFonts w:hint="eastAsia" w:ascii="宋体" w:eastAsia="宋体" w:cs="宋体"/>
                <w:i w:val="0"/>
                <w:iCs w:val="0"/>
                <w:color w:val="000000"/>
                <w:sz w:val="20"/>
                <w:szCs w:val="20"/>
                <w:u w:val="none"/>
              </w:rPr>
            </w:pPr>
          </w:p>
        </w:tc>
      </w:tr>
      <w:tr w14:paraId="6EDE7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062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5A9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宣传推介巴中，主动对接各类媒体，差别喂料、分众服务，专人配合人民日报、新华社、央视拍摄图片、视频，组织活动配合网络直播，扩大了中央、省、市级主流媒体宣传中的老区声量。全市在中央、省级主流媒体刊发稿件7524篇（条）。其中，人民日报用稿62条（含人民日报客户端）；新华社用稿32条（含新华社客户端）；人民网用稿261条，新华网用稿37条；央视用稿182条，其中《新闻联播》13条；四川日报用稿145条；四川电视台用稿678条，其中《四川新闻联播》107条。</w:t>
            </w:r>
          </w:p>
        </w:tc>
      </w:tr>
      <w:tr w14:paraId="71269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935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B03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4A034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B1A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9F96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5097E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756D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项目负责人：唐强</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FB0D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2EC0E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D51E">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3B299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CD88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0A8B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51190024T000010097907-2023年第七届全国文明城市创建工作经</w:t>
            </w:r>
          </w:p>
        </w:tc>
      </w:tr>
      <w:tr w14:paraId="6630E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808A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7C26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0EE7B73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115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15E3F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5F60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50FE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FA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9E0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严格按照中央文明办创新改进精神文明创建工作要求，对照《全国文明城市测评指标及要求（2023年版）》《全国未成年人思想道德建设工作测评指标及要求（2023年版）》推进年度重点工作，扎实开展督查督导、宣传引导、点位提升、实践活动和资料完善等工作，较好完成年度目标任务，持续巩固提升文明城市创建成果。</w:t>
            </w:r>
          </w:p>
        </w:tc>
      </w:tr>
      <w:tr w14:paraId="6DFD3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60876"/>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72CAA"/>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AC21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按照市创文指挥部2025年度工作安排部署和《全国文明城市测评体系》《全国未成年人思想道德建设工作测评体系》指标任务要求，严格按照中央文明办创新改进精神文明创建工作要求，对照《全国文明城市测评指标及要求（2023年版）》《全国未成年人思想道德建设工作测评指标及要求（2023年版）》狠抓工作落实，全面完成迎检测评工作任务，持续巩固提升创建成果。</w:t>
            </w:r>
          </w:p>
        </w:tc>
        <w:tc>
          <w:tcPr>
            <w:tcW w:w="4263"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5A808"/>
        </w:tc>
      </w:tr>
      <w:tr w14:paraId="1A668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00C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FF20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22F2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对标《全国文明城市测评体系》《全国未成年人思想道德建设工作测评体系》要求，严格按预算和程序组织实施，围绕宣传、实地、网报、综合等板块，按照年度迎检任务和时间进度狠抓落实，保障项目实施科学、精准、节约、高效。全年持续推动三区和市级部门查漏补缺，常态开展主次干道、社区小区、窗口单位、学校周边等重点区域督导检查，组织开展文明实践、创文宣传、知识竞赛和主题活动，完善网报资料和宣传载体，推动创建工作常态长效。</w:t>
            </w:r>
          </w:p>
        </w:tc>
      </w:tr>
      <w:tr w14:paraId="29E58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F06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653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20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AD4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2A0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42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77D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774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14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6C2E0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FEEF"/>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96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C65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24.06</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E60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121.36</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1B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121.36</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17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17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622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0F13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02D77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F9C9"/>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70B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FF6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24.06</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353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121.36</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13E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121.36</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461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9D9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028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18B02"/>
        </w:tc>
      </w:tr>
      <w:tr w14:paraId="27C34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A6AA8"/>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5AB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1BD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510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B4E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3D8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58D6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1AC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D16A9"/>
        </w:tc>
      </w:tr>
      <w:tr w14:paraId="24E9C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3DBD"/>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D63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C92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188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E9E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150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17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96E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8F98F"/>
        </w:tc>
      </w:tr>
      <w:tr w14:paraId="5FF5F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93B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682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A69C">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2C5B9">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B60F">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6ADB4">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28B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7A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AAC76"/>
        </w:tc>
      </w:tr>
      <w:tr w14:paraId="09F8F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6E6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C6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501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899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A82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BAA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25F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EA2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DEA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16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7EC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4590A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B1064"/>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35A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DDF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8CD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督查督导，扎实有效推动三区及市级各部门全国文明城市创建工作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008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BC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C80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494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220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768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19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8D3EE">
            <w:pPr>
              <w:jc w:val="center"/>
              <w:rPr>
                <w:rFonts w:hint="eastAsia" w:ascii="宋体" w:eastAsia="宋体" w:cs="宋体"/>
                <w:i w:val="0"/>
                <w:iCs w:val="0"/>
                <w:color w:val="000000"/>
                <w:sz w:val="20"/>
                <w:szCs w:val="20"/>
                <w:u w:val="none"/>
              </w:rPr>
            </w:pPr>
          </w:p>
        </w:tc>
      </w:tr>
      <w:tr w14:paraId="35182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0FBA6"/>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59721"/>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19E16"/>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FAB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开展群众性满意度提升相关活动</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074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075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A1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6B9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A62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94D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F0BF">
            <w:pPr>
              <w:jc w:val="center"/>
              <w:rPr>
                <w:rFonts w:hint="eastAsia" w:ascii="宋体" w:eastAsia="宋体" w:cs="宋体"/>
                <w:i w:val="0"/>
                <w:iCs w:val="0"/>
                <w:color w:val="000000"/>
                <w:sz w:val="20"/>
                <w:szCs w:val="20"/>
                <w:u w:val="none"/>
              </w:rPr>
            </w:pPr>
          </w:p>
        </w:tc>
      </w:tr>
      <w:tr w14:paraId="2D861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CBEF"/>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B45CC"/>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A8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质量指标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E93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完成《全国文明城市测评体系》《全国未成年人思想道德建设工作测评体系》《全国文明城镇测评体系》指标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38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2C5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8F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FEF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94D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E1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9F2F5">
            <w:pPr>
              <w:jc w:val="center"/>
              <w:rPr>
                <w:rFonts w:hint="eastAsia" w:ascii="宋体" w:eastAsia="宋体" w:cs="宋体"/>
                <w:i w:val="0"/>
                <w:iCs w:val="0"/>
                <w:color w:val="000000"/>
                <w:sz w:val="20"/>
                <w:szCs w:val="20"/>
                <w:u w:val="none"/>
              </w:rPr>
            </w:pPr>
          </w:p>
        </w:tc>
      </w:tr>
      <w:tr w14:paraId="7B43D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4A1B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F20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5E3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A86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提高巴中知名度、美誉度和影响力</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C19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F72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0D07">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77B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00F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006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B216">
            <w:pPr>
              <w:jc w:val="center"/>
              <w:rPr>
                <w:rFonts w:hint="eastAsia" w:ascii="宋体" w:eastAsia="宋体" w:cs="宋体"/>
                <w:i w:val="0"/>
                <w:iCs w:val="0"/>
                <w:color w:val="000000"/>
                <w:sz w:val="20"/>
                <w:szCs w:val="20"/>
                <w:u w:val="none"/>
              </w:rPr>
            </w:pPr>
          </w:p>
        </w:tc>
      </w:tr>
      <w:tr w14:paraId="70392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52E8"/>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9E6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79C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B10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7D5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7AD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4BC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CFD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96</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0BF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2F8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D27C">
            <w:pPr>
              <w:jc w:val="center"/>
              <w:rPr>
                <w:rFonts w:hint="eastAsia" w:ascii="宋体" w:eastAsia="宋体" w:cs="宋体"/>
                <w:i w:val="0"/>
                <w:iCs w:val="0"/>
                <w:color w:val="000000"/>
                <w:sz w:val="20"/>
                <w:szCs w:val="20"/>
                <w:u w:val="none"/>
              </w:rPr>
            </w:pPr>
          </w:p>
        </w:tc>
      </w:tr>
      <w:tr w14:paraId="5D813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808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66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92D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5B8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439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63B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1213600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9EF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2B6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1213600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F8B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93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CAD7F">
            <w:pPr>
              <w:jc w:val="center"/>
              <w:rPr>
                <w:rFonts w:hint="eastAsia" w:ascii="宋体" w:eastAsia="宋体" w:cs="宋体"/>
                <w:i w:val="0"/>
                <w:iCs w:val="0"/>
                <w:color w:val="000000"/>
                <w:sz w:val="20"/>
                <w:szCs w:val="20"/>
                <w:u w:val="none"/>
              </w:rPr>
            </w:pPr>
          </w:p>
        </w:tc>
      </w:tr>
      <w:tr w14:paraId="0AE82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54D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57F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352C">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B4225">
            <w:pPr>
              <w:rPr>
                <w:rFonts w:hint="eastAsia" w:ascii="宋体" w:eastAsia="宋体" w:cs="宋体"/>
                <w:i w:val="0"/>
                <w:iCs w:val="0"/>
                <w:color w:val="000000"/>
                <w:sz w:val="20"/>
                <w:szCs w:val="20"/>
                <w:u w:val="none"/>
              </w:rPr>
            </w:pPr>
          </w:p>
        </w:tc>
      </w:tr>
      <w:tr w14:paraId="3C3DB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906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92BC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自评，项目预算执行率达到100%，绩效目标总体完成情况良好，自评总分100分。2025年度创建项目实施较为科学、精准、节约、高效，较好保障了全国文明城市创建年度重点任务推进。通过持续抓好实地点位整治提升、网报资料完善、常态宣传引导、文明实践活动和督查督导等工作，有效提升了城市文明程度、市民文明素养和社会文明风尚，为巩固提升全国文明城市创建成果提供了有力保障。</w:t>
            </w:r>
          </w:p>
        </w:tc>
      </w:tr>
      <w:tr w14:paraId="62844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E5D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614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5D199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7B7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51DF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6394B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A547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项目负责人：何海江</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21E2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17E23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2E106">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1EC50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DB7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9816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51190025T000013169680-2025年年初部门预算特定目标类项目203001市委宣传部门户网站网络安全维护经费</w:t>
            </w:r>
          </w:p>
        </w:tc>
      </w:tr>
      <w:tr w14:paraId="7D5EE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16CB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D26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5A8A6AF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A1C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44473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C0E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9649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7DB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C6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23224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D66E"/>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0A8C5"/>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7BDD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对官方网站代码、数据库、服务器、页面框架结构等进行日常维护，确保官方网站安全、规范。</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7F5B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常态开展日常维护，官方网站有序运行，全年未发生网络安全事故，未出现错误表述等。</w:t>
            </w:r>
          </w:p>
        </w:tc>
      </w:tr>
      <w:tr w14:paraId="26FE3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B7C6A"/>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6C72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067F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项目围绕门户网站网络安全维护开展，主要实施内容包括：定期开展网站漏洞扫描与修复、病毒及恶意代码查杀，保障服务器及数据库安全；搭建安全监测预警机制，实时监控网站运行状态；开展运维人员安全培训，提升实操能力；规范安全管理制度，完善应急处置预案，确保网络安全维护工作有序推进，全面保障门户网站安全稳定。</w:t>
            </w:r>
          </w:p>
        </w:tc>
      </w:tr>
      <w:tr w14:paraId="2AB6D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91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901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0E5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B32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ED2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824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0F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F28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11B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22221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F39E0"/>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892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865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9E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856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01F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3C4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7D8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C50B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17641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DC47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F0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BE6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DC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780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472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629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300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4A235"/>
        </w:tc>
      </w:tr>
      <w:tr w14:paraId="30510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E14F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8F4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7CC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A1C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734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B9F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4AF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AD2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16E3"/>
        </w:tc>
      </w:tr>
      <w:tr w14:paraId="13249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06D40"/>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802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49B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F52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328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35A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186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E4D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CBB5E"/>
        </w:tc>
      </w:tr>
      <w:tr w14:paraId="707DD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E8BF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FA1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209C0">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90BD0">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F959">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4F5B4">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96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67B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9EB87"/>
        </w:tc>
      </w:tr>
      <w:tr w14:paraId="5CA97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09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D1B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DF0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14A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F81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D9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603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032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2C6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35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0B2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116D0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C7C92"/>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2EE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ACB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0BD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服务器漏洞发生次数</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29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6C6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D38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次/年</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FE4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823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0A5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AFC26">
            <w:pPr>
              <w:jc w:val="center"/>
              <w:rPr>
                <w:rFonts w:hint="eastAsia" w:ascii="宋体" w:eastAsia="宋体" w:cs="宋体"/>
                <w:i w:val="0"/>
                <w:iCs w:val="0"/>
                <w:color w:val="000000"/>
                <w:sz w:val="20"/>
                <w:szCs w:val="20"/>
                <w:u w:val="none"/>
              </w:rPr>
            </w:pPr>
          </w:p>
        </w:tc>
      </w:tr>
      <w:tr w14:paraId="19774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29495"/>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6774F"/>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1F03"/>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D25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网站运行故障发生次数</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BC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AF0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B9D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次/年</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B56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CD6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68A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1358A">
            <w:pPr>
              <w:jc w:val="center"/>
              <w:rPr>
                <w:rFonts w:hint="eastAsia" w:ascii="宋体" w:eastAsia="宋体" w:cs="宋体"/>
                <w:i w:val="0"/>
                <w:iCs w:val="0"/>
                <w:color w:val="000000"/>
                <w:sz w:val="20"/>
                <w:szCs w:val="20"/>
                <w:u w:val="none"/>
              </w:rPr>
            </w:pPr>
          </w:p>
        </w:tc>
      </w:tr>
      <w:tr w14:paraId="5BB8D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3230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DD5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1B5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AA0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信息公开群众满意度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AE6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84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81706">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207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2A5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798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884C3">
            <w:pPr>
              <w:jc w:val="center"/>
              <w:rPr>
                <w:rFonts w:hint="eastAsia" w:ascii="宋体" w:eastAsia="宋体" w:cs="宋体"/>
                <w:i w:val="0"/>
                <w:iCs w:val="0"/>
                <w:color w:val="000000"/>
                <w:sz w:val="20"/>
                <w:szCs w:val="20"/>
                <w:u w:val="none"/>
              </w:rPr>
            </w:pPr>
          </w:p>
        </w:tc>
      </w:tr>
      <w:tr w14:paraId="2C8F8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C5ED8"/>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8D6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B9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8E7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市民满意度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F0A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5EA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3335B">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97A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E49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E3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6CD0A">
            <w:pPr>
              <w:jc w:val="center"/>
              <w:rPr>
                <w:rFonts w:hint="eastAsia" w:ascii="宋体" w:eastAsia="宋体" w:cs="宋体"/>
                <w:i w:val="0"/>
                <w:iCs w:val="0"/>
                <w:color w:val="000000"/>
                <w:sz w:val="20"/>
                <w:szCs w:val="20"/>
                <w:u w:val="none"/>
              </w:rPr>
            </w:pPr>
          </w:p>
        </w:tc>
      </w:tr>
      <w:tr w14:paraId="3D213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1C1EC"/>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66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D7F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6CD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58A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6C9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5E0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352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E8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0CF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A3F71">
            <w:pPr>
              <w:jc w:val="center"/>
              <w:rPr>
                <w:rFonts w:hint="eastAsia" w:ascii="宋体" w:eastAsia="宋体" w:cs="宋体"/>
                <w:i w:val="0"/>
                <w:iCs w:val="0"/>
                <w:color w:val="000000"/>
                <w:sz w:val="20"/>
                <w:szCs w:val="20"/>
                <w:u w:val="none"/>
              </w:rPr>
            </w:pPr>
          </w:p>
        </w:tc>
      </w:tr>
      <w:tr w14:paraId="49C32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58B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C60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9B009">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6C50C">
            <w:pPr>
              <w:rPr>
                <w:rFonts w:hint="eastAsia" w:ascii="宋体" w:eastAsia="宋体" w:cs="宋体"/>
                <w:i w:val="0"/>
                <w:iCs w:val="0"/>
                <w:color w:val="000000"/>
                <w:sz w:val="20"/>
                <w:szCs w:val="20"/>
                <w:u w:val="none"/>
              </w:rPr>
            </w:pPr>
          </w:p>
        </w:tc>
      </w:tr>
      <w:tr w14:paraId="7AE5D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EAC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0D7E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有效保障门户网站安全运维，完成漏洞扫描、病毒查杀、数据加密等核心工作，防范网络攻击、数据泄露等风险，保障网站7×24小时稳定运行。规范安全管理流程，提升运维人员专业能力，未发生重大网络安全事件，确保网站信息发布安全、访问顺畅，满足政务公开及公众服务需求。</w:t>
            </w:r>
          </w:p>
        </w:tc>
      </w:tr>
      <w:tr w14:paraId="30FEE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85F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B6A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安全技术升级投入不足，应对新型网络攻击的能力有待提升。</w:t>
            </w:r>
          </w:p>
        </w:tc>
      </w:tr>
      <w:tr w14:paraId="339B6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CEF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58C3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加大技术升级投入，引入先进安全技术和工具，提升网站抗攻击能力。</w:t>
            </w:r>
          </w:p>
        </w:tc>
      </w:tr>
      <w:tr w14:paraId="350CA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0CC1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项目负责人：杨海铭</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DCDF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58A11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D1FA8">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11FFE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80B4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7E64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51190025T000013170007-2025年年初部门预算特定目标类项目203001市委宣传部全民国防教育经费</w:t>
            </w:r>
          </w:p>
        </w:tc>
      </w:tr>
      <w:tr w14:paraId="17417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E57B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41BC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60F2686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BFD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0E01F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FF62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1F57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9EA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44C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3D359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FEBE"/>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AF127"/>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F0B6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泛开展群众性国防教育活动，组织举办大中小学国防知识普及活动，开展全民国防教育宣讲等活动加强舆论宣传引导，把全民国防教育融入重大主题宣传、形势政策宣传、成就宣传、典型宣传，提高全民国防教育宣传的吸引力和感染力。注重先进典型示范引领，开展“国防有我”系列先进典型宣传活动，营造全社会关心支持全民国防教育的浓厚氛围。</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4C0B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组织策划“全民国防教育月”系列活动，举办“大兵小将筑国防”四川省青少年国防教育巴中站海选活动，深入开展全民国防教育巡回宣讲活动、巴中市最美拥军人物”评选，发挥先进典型示范引领作用，在全社会营造关心国防、热爱国防、建设国防、保卫国防的浓厚氛围。</w:t>
            </w:r>
          </w:p>
        </w:tc>
      </w:tr>
      <w:tr w14:paraId="16A75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BB361"/>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BCCF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5544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成功举办“大兵小将筑国防”四川省青少年国防教育巴中站海选活动，精心策划“全民国防教育月”系列活动，深入开展“弘扬抗战精神 共筑国防长城”2025年巴中全民国防教育巡回宣讲活动10场次，引导干部群众更好铭记历史、缅怀先烈、珍爱和平、关心国防，有效推动全民国防教育入脑入心、见行见效。</w:t>
            </w:r>
          </w:p>
        </w:tc>
      </w:tr>
      <w:tr w14:paraId="6306A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4AF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295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DDD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C8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BB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639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46D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06E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FF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04DF7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D8E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351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E9A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857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10.65</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67F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10.65</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43A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B0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70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C17F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4EEDD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AA8A0"/>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B73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868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71C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10.65</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DA0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10.65</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D67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73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780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7D80"/>
        </w:tc>
      </w:tr>
      <w:tr w14:paraId="25F57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14FA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DD0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C36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019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D0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4DC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D69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2C3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D4E6F"/>
        </w:tc>
      </w:tr>
      <w:tr w14:paraId="70452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5FA8"/>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E25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DAF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7EB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C2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5A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9D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9FF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100C7"/>
        </w:tc>
      </w:tr>
      <w:tr w14:paraId="5F43D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3C5A0"/>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944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A443">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2037B">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2A337">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DE15E">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C1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52D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417F6"/>
        </w:tc>
      </w:tr>
      <w:tr w14:paraId="545DB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29E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64A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D16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51A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1F6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367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C3A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DC7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8C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6F9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43E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0E068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9CBD7"/>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CF2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D3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C47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开展“全民国防教育日”等主题实践活动</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BF3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F79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D8A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438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E52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3D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DA9E0">
            <w:pPr>
              <w:jc w:val="center"/>
              <w:rPr>
                <w:rFonts w:hint="eastAsia" w:ascii="宋体" w:eastAsia="宋体" w:cs="宋体"/>
                <w:i w:val="0"/>
                <w:iCs w:val="0"/>
                <w:color w:val="000000"/>
                <w:sz w:val="20"/>
                <w:szCs w:val="20"/>
                <w:u w:val="none"/>
              </w:rPr>
            </w:pPr>
          </w:p>
        </w:tc>
      </w:tr>
      <w:tr w14:paraId="6175D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F3983"/>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A2B1E"/>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8D3EA"/>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FF0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制作刊播全民国防教育宣传广告标语</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FD3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779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92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786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296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3AA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A4879">
            <w:pPr>
              <w:jc w:val="center"/>
              <w:rPr>
                <w:rFonts w:hint="eastAsia" w:ascii="宋体" w:eastAsia="宋体" w:cs="宋体"/>
                <w:i w:val="0"/>
                <w:iCs w:val="0"/>
                <w:color w:val="000000"/>
                <w:sz w:val="20"/>
                <w:szCs w:val="20"/>
                <w:u w:val="none"/>
              </w:rPr>
            </w:pPr>
          </w:p>
        </w:tc>
      </w:tr>
      <w:tr w14:paraId="1E01B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D7AF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85D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E8D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786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推动增强全民爱党爱国爱社会主义的深厚感情、居安思危的忧患意识</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3CF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46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C8C38">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51C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FE5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E8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8B1C6">
            <w:pPr>
              <w:jc w:val="center"/>
              <w:rPr>
                <w:rFonts w:hint="eastAsia" w:ascii="宋体" w:eastAsia="宋体" w:cs="宋体"/>
                <w:i w:val="0"/>
                <w:iCs w:val="0"/>
                <w:color w:val="000000"/>
                <w:sz w:val="20"/>
                <w:szCs w:val="20"/>
                <w:u w:val="none"/>
              </w:rPr>
            </w:pPr>
          </w:p>
        </w:tc>
      </w:tr>
      <w:tr w14:paraId="43473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4103"/>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4F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2AD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440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人民群众工作满意度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6D3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8A4D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8BB82">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378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35A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7DB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6BD05">
            <w:pPr>
              <w:jc w:val="center"/>
              <w:rPr>
                <w:rFonts w:hint="eastAsia" w:ascii="宋体" w:eastAsia="宋体" w:cs="宋体"/>
                <w:i w:val="0"/>
                <w:iCs w:val="0"/>
                <w:color w:val="000000"/>
                <w:sz w:val="20"/>
                <w:szCs w:val="20"/>
                <w:u w:val="none"/>
              </w:rPr>
            </w:pPr>
          </w:p>
        </w:tc>
      </w:tr>
      <w:tr w14:paraId="0655C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79E6A"/>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5DB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A95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A16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DA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869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1CF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EE8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685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2D7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AABDA">
            <w:pPr>
              <w:jc w:val="center"/>
              <w:rPr>
                <w:rFonts w:hint="eastAsia" w:ascii="宋体" w:eastAsia="宋体" w:cs="宋体"/>
                <w:i w:val="0"/>
                <w:iCs w:val="0"/>
                <w:color w:val="000000"/>
                <w:sz w:val="20"/>
                <w:szCs w:val="20"/>
                <w:u w:val="none"/>
              </w:rPr>
            </w:pPr>
          </w:p>
        </w:tc>
      </w:tr>
      <w:tr w14:paraId="6287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3C6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DDD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7FF09">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2D9EB">
            <w:pPr>
              <w:rPr>
                <w:rFonts w:hint="eastAsia" w:ascii="宋体" w:eastAsia="宋体" w:cs="宋体"/>
                <w:i w:val="0"/>
                <w:iCs w:val="0"/>
                <w:color w:val="000000"/>
                <w:sz w:val="20"/>
                <w:szCs w:val="20"/>
                <w:u w:val="none"/>
              </w:rPr>
            </w:pPr>
          </w:p>
        </w:tc>
      </w:tr>
      <w:tr w14:paraId="178F9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983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B292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进一步建立健全全民国防教育工作机制，联合市级相关部门，发挥全市全民国防教育宣讲团作用，深入开展全民国防教育系列实践活动，积极刊播刊载关于全民国防教育大型公益广告。</w:t>
            </w:r>
          </w:p>
        </w:tc>
      </w:tr>
      <w:tr w14:paraId="265A3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66F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088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全民国防教育的形式和内容较为单一。</w:t>
            </w:r>
          </w:p>
        </w:tc>
      </w:tr>
      <w:tr w14:paraId="05738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BE6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1641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在重大时间节点，将全民国防教育活动有机结合文化科技卫生“三下乡”、“强国复兴有我”群众性主题教育活动，丰富活动内容，开展群众喜闻乐见的主题活动，营造良好社会氛围。</w:t>
            </w:r>
          </w:p>
        </w:tc>
      </w:tr>
      <w:tr w14:paraId="240FF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2969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项目负责人：张京</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B373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6ABBB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C7E49">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100E8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FE9F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5377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51190025T000013170731-2025年年初部门预算特定目标类项目203001市委宣传部社会主义核心价值观教育经费</w:t>
            </w:r>
          </w:p>
        </w:tc>
      </w:tr>
      <w:tr w14:paraId="4BA0E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B685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373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2987AF9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3A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14D17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E238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DE5A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B1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E6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3C3DE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74F5E"/>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DF7A6"/>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9BAF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深入贯彻习近平新时代中国特色社会主义思想，全面落实中央和省委、市委重大决策部署，加强时政类政策宣传，广泛践行和弘扬社会主义核心价值观，加大典型培树宣传，推进《巴中市贯彻落实〈新时代爱国主义教育实施纲要〉举措》，落地落实，更好构筑中国精神、中国价值、中国力量。深入实施“一市四区三地”发展战略，高建设全国革命老区振兴发展示范市，开启全面建设社会主义现代化巴中新征程提供精神动力。</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B378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在全市范围内广泛践行和弘扬社会主义核心价值观，加强时政类、公益广告的刊播刊载工作，营造良好社会氛围。</w:t>
            </w:r>
          </w:p>
        </w:tc>
      </w:tr>
      <w:tr w14:paraId="0486D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88E90"/>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E5D3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CCE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组织开展时政类、公益广告宣传20余次，组织开展文化科技卫生“三下乡”集中示范活动1次，广泛践行和弘扬社会主义核心价值观。</w:t>
            </w:r>
          </w:p>
        </w:tc>
      </w:tr>
      <w:tr w14:paraId="43AA9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761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416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4D6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85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BD8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6C2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E30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9C9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457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33B50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C6162"/>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C04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B70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5FE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4.18</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B4F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4.18</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831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F99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80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2A12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2C67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3D18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F72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D00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964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4.18</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820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4.18</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0F1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017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D0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D3C6B"/>
        </w:tc>
      </w:tr>
      <w:tr w14:paraId="52625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BAE6F"/>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9A4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96C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E43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E36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19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2F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49E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51410"/>
        </w:tc>
      </w:tr>
      <w:tr w14:paraId="64329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DE281"/>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845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83F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9236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1EF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D8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C50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65F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EF5B4"/>
        </w:tc>
      </w:tr>
      <w:tr w14:paraId="63864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41D89"/>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94B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5E939">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BD0D">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62A17">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D333">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DE8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B08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0C3A1"/>
        </w:tc>
      </w:tr>
      <w:tr w14:paraId="5E26D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94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C1A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851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535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8893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B3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17F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5A5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D12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75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505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2D459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88E5F"/>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3EC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6BE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7B2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加强时政宣传和社会主义核心价值观教育活动</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F21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86C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A96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CC8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6CF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677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85750">
            <w:pPr>
              <w:jc w:val="center"/>
              <w:rPr>
                <w:rFonts w:hint="eastAsia" w:ascii="宋体" w:eastAsia="宋体" w:cs="宋体"/>
                <w:i w:val="0"/>
                <w:iCs w:val="0"/>
                <w:color w:val="000000"/>
                <w:sz w:val="20"/>
                <w:szCs w:val="20"/>
                <w:u w:val="none"/>
              </w:rPr>
            </w:pPr>
          </w:p>
        </w:tc>
      </w:tr>
      <w:tr w14:paraId="135E5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1493B"/>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63736"/>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5A7E5"/>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FC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开展文化科技卫生“三下乡”活动</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26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2C3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C8B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E1F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F4B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CAD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6D4E1">
            <w:pPr>
              <w:jc w:val="center"/>
              <w:rPr>
                <w:rFonts w:hint="eastAsia" w:ascii="宋体" w:eastAsia="宋体" w:cs="宋体"/>
                <w:i w:val="0"/>
                <w:iCs w:val="0"/>
                <w:color w:val="000000"/>
                <w:sz w:val="20"/>
                <w:szCs w:val="20"/>
                <w:u w:val="none"/>
              </w:rPr>
            </w:pPr>
          </w:p>
        </w:tc>
      </w:tr>
      <w:tr w14:paraId="5BC3E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2C5C"/>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2C1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7C7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6C5F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为高质量建设革命老区振兴发展示范市营造良好社会氛围</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DF9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8DC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8ED90">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B3E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FF5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88F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97D30">
            <w:pPr>
              <w:jc w:val="center"/>
              <w:rPr>
                <w:rFonts w:hint="eastAsia" w:ascii="宋体" w:eastAsia="宋体" w:cs="宋体"/>
                <w:i w:val="0"/>
                <w:iCs w:val="0"/>
                <w:color w:val="000000"/>
                <w:sz w:val="20"/>
                <w:szCs w:val="20"/>
                <w:u w:val="none"/>
              </w:rPr>
            </w:pPr>
          </w:p>
        </w:tc>
      </w:tr>
      <w:tr w14:paraId="76B4C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81E48"/>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641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9F9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FC1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人民群众工作满意度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5A2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2F7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1C1AD">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459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3C5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567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7F358">
            <w:pPr>
              <w:jc w:val="center"/>
              <w:rPr>
                <w:rFonts w:hint="eastAsia" w:ascii="宋体" w:eastAsia="宋体" w:cs="宋体"/>
                <w:i w:val="0"/>
                <w:iCs w:val="0"/>
                <w:color w:val="000000"/>
                <w:sz w:val="20"/>
                <w:szCs w:val="20"/>
                <w:u w:val="none"/>
              </w:rPr>
            </w:pPr>
          </w:p>
        </w:tc>
      </w:tr>
      <w:tr w14:paraId="29AB7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C150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EE3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62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FA5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3DF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8FA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453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AD2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81F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51F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9F35A">
            <w:pPr>
              <w:jc w:val="center"/>
              <w:rPr>
                <w:rFonts w:hint="eastAsia" w:ascii="宋体" w:eastAsia="宋体" w:cs="宋体"/>
                <w:i w:val="0"/>
                <w:iCs w:val="0"/>
                <w:color w:val="000000"/>
                <w:sz w:val="20"/>
                <w:szCs w:val="20"/>
                <w:u w:val="none"/>
              </w:rPr>
            </w:pPr>
          </w:p>
        </w:tc>
      </w:tr>
      <w:tr w14:paraId="7F910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41A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39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9716C">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70ABE">
            <w:pPr>
              <w:rPr>
                <w:rFonts w:hint="eastAsia" w:ascii="宋体" w:eastAsia="宋体" w:cs="宋体"/>
                <w:i w:val="0"/>
                <w:iCs w:val="0"/>
                <w:color w:val="000000"/>
                <w:sz w:val="20"/>
                <w:szCs w:val="20"/>
                <w:u w:val="none"/>
              </w:rPr>
            </w:pPr>
          </w:p>
        </w:tc>
      </w:tr>
      <w:tr w14:paraId="02C3A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4F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DC8C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广泛践行和弘扬社会主义核心价值观，开展党的时政类、公益广告的刊播刊载，开展社会主义核心价值观的主题活动。</w:t>
            </w:r>
          </w:p>
        </w:tc>
      </w:tr>
      <w:tr w14:paraId="3F407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526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A7B1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开展践行和弘扬社会主义核心价值观的活动的方式有待进一步提高。</w:t>
            </w:r>
          </w:p>
        </w:tc>
      </w:tr>
      <w:tr w14:paraId="0FEB4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469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CACB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进一步丰富活动方式和载体，有机结合线上线下，营造良好社会氛围。</w:t>
            </w:r>
          </w:p>
        </w:tc>
      </w:tr>
      <w:tr w14:paraId="2E3A5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1302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项目负责人：张京</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155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1726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622C6">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31886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E6D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6A89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51190025T000013171317-2025年年初部门预算特定目标类项目203001市委宣传部电影出版工作经费</w:t>
            </w:r>
          </w:p>
        </w:tc>
      </w:tr>
      <w:tr w14:paraId="658B3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065F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513E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16DE5E1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F44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70B11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8B53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9882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735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815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11AFB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0AFF9"/>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374D6"/>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D987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开展电影市场、出版物市场、印刷企业检查，开展作品登记，维护创新创造版权权益，办理行政许可</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DCE5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全面完成项目各项年度目标。</w:t>
            </w:r>
          </w:p>
        </w:tc>
      </w:tr>
      <w:tr w14:paraId="732DF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6E848"/>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61D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330F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开展电影市场、出版物市场、印刷企业检查4次，完成作品登记3900余件，有效维护创新创造版权权益，办理行政许可100余件，开展主动为企业服务活动4次。</w:t>
            </w:r>
          </w:p>
        </w:tc>
      </w:tr>
      <w:tr w14:paraId="520AA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FAA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03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CC9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441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E6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A5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A5D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E6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AEA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6BB7D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3E6F1"/>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37F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C40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83A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3D3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9AB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BCF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5A1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E9A3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167A7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D7AC"/>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EE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07E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496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6A8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BA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B3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A00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66A05"/>
        </w:tc>
      </w:tr>
      <w:tr w14:paraId="4AD8D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CCF7B"/>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3C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03C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06E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2D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95D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19F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9AD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E04EE"/>
        </w:tc>
      </w:tr>
      <w:tr w14:paraId="60862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E82D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422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0CB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B5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FE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098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90D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18A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C6CC"/>
        </w:tc>
      </w:tr>
      <w:tr w14:paraId="0E6AC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36349"/>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6D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5CB4D">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B26F5">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81F3">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8042A">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58C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3F3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B1C9E"/>
        </w:tc>
      </w:tr>
      <w:tr w14:paraId="19193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646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770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BA7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939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4E6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75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E5F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BED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EF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D2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F7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17E2E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C6310"/>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B7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6B1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6E4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开展出版发行、印刷企业、电影院专项检查</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13E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1D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1C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AF4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7BE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920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D1B2D">
            <w:pPr>
              <w:jc w:val="center"/>
              <w:rPr>
                <w:rFonts w:hint="eastAsia" w:ascii="宋体" w:eastAsia="宋体" w:cs="宋体"/>
                <w:i w:val="0"/>
                <w:iCs w:val="0"/>
                <w:color w:val="000000"/>
                <w:sz w:val="20"/>
                <w:szCs w:val="20"/>
                <w:u w:val="none"/>
              </w:rPr>
            </w:pPr>
          </w:p>
        </w:tc>
      </w:tr>
      <w:tr w14:paraId="4541D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4B024"/>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46D46"/>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1953A"/>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193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完成作品登记</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AEC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344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562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件</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BC2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3900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A49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3C0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88F1">
            <w:pPr>
              <w:jc w:val="center"/>
              <w:rPr>
                <w:rFonts w:hint="eastAsia" w:ascii="宋体" w:eastAsia="宋体" w:cs="宋体"/>
                <w:i w:val="0"/>
                <w:iCs w:val="0"/>
                <w:color w:val="000000"/>
                <w:sz w:val="20"/>
                <w:szCs w:val="20"/>
                <w:u w:val="none"/>
              </w:rPr>
            </w:pPr>
          </w:p>
        </w:tc>
      </w:tr>
      <w:tr w14:paraId="60AFD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CF2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727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541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3FD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培育市场主体，营造一流营商环境</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E50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3FD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24E11">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B8E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C15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045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8BB1A">
            <w:pPr>
              <w:jc w:val="center"/>
              <w:rPr>
                <w:rFonts w:hint="eastAsia" w:ascii="宋体" w:eastAsia="宋体" w:cs="宋体"/>
                <w:i w:val="0"/>
                <w:iCs w:val="0"/>
                <w:color w:val="000000"/>
                <w:sz w:val="20"/>
                <w:szCs w:val="20"/>
                <w:u w:val="none"/>
              </w:rPr>
            </w:pPr>
          </w:p>
        </w:tc>
      </w:tr>
      <w:tr w14:paraId="32F7E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5849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532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3DC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3B5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FFA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486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21F71">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8F4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15A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E15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93CC">
            <w:pPr>
              <w:jc w:val="center"/>
              <w:rPr>
                <w:rFonts w:hint="eastAsia" w:ascii="宋体" w:eastAsia="宋体" w:cs="宋体"/>
                <w:i w:val="0"/>
                <w:iCs w:val="0"/>
                <w:color w:val="000000"/>
                <w:sz w:val="20"/>
                <w:szCs w:val="20"/>
                <w:u w:val="none"/>
              </w:rPr>
            </w:pPr>
          </w:p>
        </w:tc>
      </w:tr>
      <w:tr w14:paraId="67514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298C"/>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2E1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F41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747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805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B4E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040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29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E1F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8BD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C2053">
            <w:pPr>
              <w:jc w:val="center"/>
              <w:rPr>
                <w:rFonts w:hint="eastAsia" w:ascii="宋体" w:eastAsia="宋体" w:cs="宋体"/>
                <w:i w:val="0"/>
                <w:iCs w:val="0"/>
                <w:color w:val="000000"/>
                <w:sz w:val="20"/>
                <w:szCs w:val="20"/>
                <w:u w:val="none"/>
              </w:rPr>
            </w:pPr>
          </w:p>
        </w:tc>
      </w:tr>
      <w:tr w14:paraId="679E1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A8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FDA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91D1C">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5D525">
            <w:pPr>
              <w:rPr>
                <w:rFonts w:hint="eastAsia" w:ascii="宋体" w:eastAsia="宋体" w:cs="宋体"/>
                <w:i w:val="0"/>
                <w:iCs w:val="0"/>
                <w:color w:val="000000"/>
                <w:sz w:val="20"/>
                <w:szCs w:val="20"/>
                <w:u w:val="none"/>
              </w:rPr>
            </w:pPr>
          </w:p>
        </w:tc>
      </w:tr>
      <w:tr w14:paraId="4849C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B9D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4B8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新闻出版发行工作涉及面宽、点多，涉及服务群众服务企业，全年主动为企业服务4次，办理行政审批100余件，受到企业、群众一致好评。</w:t>
            </w:r>
          </w:p>
        </w:tc>
      </w:tr>
      <w:tr w14:paraId="66C36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27A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D462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预算经费不足，导致主动为企业服务还需要进一步提升。</w:t>
            </w:r>
          </w:p>
        </w:tc>
      </w:tr>
      <w:tr w14:paraId="45D98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350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50B4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增加预算，改进工作方法，开展主动为企业和群众服务活动。</w:t>
            </w:r>
          </w:p>
        </w:tc>
      </w:tr>
      <w:tr w14:paraId="5E55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E603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项目负责人：马魁</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3F72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6EAE9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F88B4">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63A22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2CE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846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51190025T000013170674-2025年年初部门预算特定目标类项目203001市委宣传部全民阅读活动经费</w:t>
            </w:r>
          </w:p>
        </w:tc>
      </w:tr>
      <w:tr w14:paraId="0DF0D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E523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C20A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4A53D38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1B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191F2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5B07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628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354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FA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20A46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A259"/>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F36B1"/>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27D7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深入开展全市全民阅读活动，切实开展好全民阅读七进活动，维护读书亭正常运转，不断提高全社会文明程度，树立“耕读传家·书香巴中”全民阅读活动品牌，不断提高全民阅读文化氛围，培养全民阅读习惯。</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E387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全面完成项目各项年度目标。</w:t>
            </w:r>
          </w:p>
        </w:tc>
      </w:tr>
      <w:tr w14:paraId="0CE32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F9F29"/>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41F4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19D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全年开展全市全民阅读启动仪式1次，开展全民阅读七进示范活动7次，维护读书亭正常运转，不断提高全社会文明程度，推动“耕读传家·书香巴中”全民阅活动品牌。</w:t>
            </w:r>
          </w:p>
        </w:tc>
      </w:tr>
      <w:tr w14:paraId="1C286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1F0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4C6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AE9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E14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1F3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A1C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EBE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A1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CBF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7E107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8BE5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0C0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361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FE4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6.32</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63E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6.32</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15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578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EC9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A3B0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72B47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795A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7A3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11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73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6.32</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29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6.32</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FEE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D8B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69D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08540"/>
        </w:tc>
      </w:tr>
      <w:tr w14:paraId="31140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5C33F"/>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01E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F38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0F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D9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D03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1B9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5E4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09936"/>
        </w:tc>
      </w:tr>
      <w:tr w14:paraId="024FA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88452"/>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09F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1D1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410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A0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FB5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876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6BA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E6D9B"/>
        </w:tc>
      </w:tr>
      <w:tr w14:paraId="01507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24A5F"/>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EBD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E1E78">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FDD36">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40826">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06E80">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332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7AD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795A"/>
        </w:tc>
      </w:tr>
      <w:tr w14:paraId="0AF38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0BC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32A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879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809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145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E37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C3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D18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C6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C7A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88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58297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43B7"/>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A69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713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BE9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开展全民阅读示范活动</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DD6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0A3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B9F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C0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ADE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91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1D98B">
            <w:pPr>
              <w:jc w:val="center"/>
              <w:rPr>
                <w:rFonts w:hint="eastAsia" w:ascii="宋体" w:eastAsia="宋体" w:cs="宋体"/>
                <w:i w:val="0"/>
                <w:iCs w:val="0"/>
                <w:color w:val="000000"/>
                <w:sz w:val="20"/>
                <w:szCs w:val="20"/>
                <w:u w:val="none"/>
              </w:rPr>
            </w:pPr>
          </w:p>
        </w:tc>
      </w:tr>
      <w:tr w14:paraId="14195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093B7"/>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7034D"/>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50661"/>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CE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举办全民阅读启动仪式</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F34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01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76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220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24B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8FF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32532">
            <w:pPr>
              <w:jc w:val="center"/>
              <w:rPr>
                <w:rFonts w:hint="eastAsia" w:ascii="宋体" w:eastAsia="宋体" w:cs="宋体"/>
                <w:i w:val="0"/>
                <w:iCs w:val="0"/>
                <w:color w:val="000000"/>
                <w:sz w:val="20"/>
                <w:szCs w:val="20"/>
                <w:u w:val="none"/>
              </w:rPr>
            </w:pPr>
          </w:p>
        </w:tc>
      </w:tr>
      <w:tr w14:paraId="285B4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CE9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A61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B9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CC2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提高全民阅读文化氛围，培养全民阅读习惯</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70D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5F5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7C551">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F38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C7E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C4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7F3D0">
            <w:pPr>
              <w:jc w:val="center"/>
              <w:rPr>
                <w:rFonts w:hint="eastAsia" w:ascii="宋体" w:eastAsia="宋体" w:cs="宋体"/>
                <w:i w:val="0"/>
                <w:iCs w:val="0"/>
                <w:color w:val="000000"/>
                <w:sz w:val="20"/>
                <w:szCs w:val="20"/>
                <w:u w:val="none"/>
              </w:rPr>
            </w:pPr>
          </w:p>
        </w:tc>
      </w:tr>
      <w:tr w14:paraId="2E307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AFECB"/>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007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FC7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5F5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群众满意度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6E3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AD0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1A77F">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B1B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91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F51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4B1C">
            <w:pPr>
              <w:jc w:val="center"/>
              <w:rPr>
                <w:rFonts w:hint="eastAsia" w:ascii="宋体" w:eastAsia="宋体" w:cs="宋体"/>
                <w:i w:val="0"/>
                <w:iCs w:val="0"/>
                <w:color w:val="000000"/>
                <w:sz w:val="20"/>
                <w:szCs w:val="20"/>
                <w:u w:val="none"/>
              </w:rPr>
            </w:pPr>
          </w:p>
        </w:tc>
      </w:tr>
      <w:tr w14:paraId="2734A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09B7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093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43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A10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C37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7B0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6.32</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8EE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CE3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6.32</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47E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271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B427A">
            <w:pPr>
              <w:jc w:val="center"/>
              <w:rPr>
                <w:rFonts w:hint="eastAsia" w:ascii="宋体" w:eastAsia="宋体" w:cs="宋体"/>
                <w:i w:val="0"/>
                <w:iCs w:val="0"/>
                <w:color w:val="000000"/>
                <w:sz w:val="20"/>
                <w:szCs w:val="20"/>
                <w:u w:val="none"/>
              </w:rPr>
            </w:pPr>
          </w:p>
        </w:tc>
      </w:tr>
      <w:tr w14:paraId="4850A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CF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77A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F4835">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B7A95">
            <w:pPr>
              <w:rPr>
                <w:rFonts w:hint="eastAsia" w:ascii="宋体" w:eastAsia="宋体" w:cs="宋体"/>
                <w:i w:val="0"/>
                <w:iCs w:val="0"/>
                <w:color w:val="000000"/>
                <w:sz w:val="20"/>
                <w:szCs w:val="20"/>
                <w:u w:val="none"/>
              </w:rPr>
            </w:pPr>
          </w:p>
        </w:tc>
      </w:tr>
      <w:tr w14:paraId="2CFD9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959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321C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开展全民阅读七进示范活动8次、开展巴中市2025年全民阅读启动仪式1次。培育“爱读书、读好书、善读书”的社会风尚，赋能文化强国建设。</w:t>
            </w:r>
          </w:p>
        </w:tc>
      </w:tr>
      <w:tr w14:paraId="3BCAF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9D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CEA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政府投入不足，开展具有影响力和引领性活动不够，导致全民阅读社会参与度还有待进一步提升。</w:t>
            </w:r>
          </w:p>
        </w:tc>
      </w:tr>
      <w:tr w14:paraId="477DC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831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D899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依托《全民阅读促进条例》政府倡导、鼓励社会参与举办各类常态化阅读活动。</w:t>
            </w:r>
          </w:p>
        </w:tc>
      </w:tr>
      <w:tr w14:paraId="6241F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9F90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项目负责人：马魁</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C7F7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426F4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F8E3C">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57970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C7B0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49D7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51190025T000013171250-2025年年初部门预算特定目标类项目203001市委宣传部扫黄打非经费</w:t>
            </w:r>
          </w:p>
        </w:tc>
      </w:tr>
      <w:tr w14:paraId="46773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9DCF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A370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16C9455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1F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3A233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E988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7441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BB7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6CA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7C2CE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884EE"/>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4103"/>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1FA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召开“扫黄打非”联席会议，开展市场专项检查，完成中央扫黄打非办及省扫黄打非办交办的工作目标任务，推动出版发行市场清朗</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C4E2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全面完成项目各项年度目标。</w:t>
            </w:r>
          </w:p>
        </w:tc>
      </w:tr>
      <w:tr w14:paraId="24112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2EE71"/>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6067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8B3B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Style w:val="35"/>
                <w:lang w:val="en-US" w:eastAsia="zh-CN"/>
              </w:rPr>
              <w:t>全年</w:t>
            </w:r>
            <w:r>
              <w:rPr>
                <w:rStyle w:val="36"/>
                <w:lang w:val="en-US" w:eastAsia="zh-CN"/>
              </w:rPr>
              <w:t>召开“扫黄打非”联席会议2次，开展市场专项检查4次，完成中央扫黄打非办及省扫黄打非办交办的工作目标任务，有效维护了巴中市清朗文化环境。</w:t>
            </w:r>
          </w:p>
        </w:tc>
      </w:tr>
      <w:tr w14:paraId="1B15B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BE2F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708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A30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6DB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A0B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1C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F92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E9F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1BF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35B73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63DE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73C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FA5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5C7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4.41</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FE2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4.41</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E99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E9B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40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0E0B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0FC4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89D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95D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75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E10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4.41</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8DF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4.41</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D3A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CD0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24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BD66D"/>
        </w:tc>
      </w:tr>
      <w:tr w14:paraId="24267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8DDA1"/>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AEF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87B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2C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88B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2D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2E4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A6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9F1A4"/>
        </w:tc>
      </w:tr>
      <w:tr w14:paraId="1C9C1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2065C"/>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9CE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1C0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C18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45E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F28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F8E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DA9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CECC"/>
        </w:tc>
      </w:tr>
      <w:tr w14:paraId="39F4A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6690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B0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0082A">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F958">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50C58">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7C82E">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479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F31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E68DF"/>
        </w:tc>
      </w:tr>
      <w:tr w14:paraId="2122F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CDB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24F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6D9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C73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A9A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D13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F0E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D94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A37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7E8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664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34FE4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FD65A"/>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584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26E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A1C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开展出版发行、印刷企业、电影院专项检查</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A3A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C4C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5B1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C61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715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D36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49E44">
            <w:pPr>
              <w:jc w:val="center"/>
              <w:rPr>
                <w:rFonts w:hint="eastAsia" w:ascii="宋体" w:eastAsia="宋体" w:cs="宋体"/>
                <w:i w:val="0"/>
                <w:iCs w:val="0"/>
                <w:color w:val="000000"/>
                <w:sz w:val="20"/>
                <w:szCs w:val="20"/>
                <w:u w:val="none"/>
              </w:rPr>
            </w:pPr>
          </w:p>
        </w:tc>
      </w:tr>
      <w:tr w14:paraId="085C7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362E8"/>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8E626"/>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C2B23"/>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7A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开展“扫黄打非”联防联控活动</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ED7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2AE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1BC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60E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29A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473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C466">
            <w:pPr>
              <w:jc w:val="center"/>
              <w:rPr>
                <w:rFonts w:hint="eastAsia" w:ascii="宋体" w:eastAsia="宋体" w:cs="宋体"/>
                <w:i w:val="0"/>
                <w:iCs w:val="0"/>
                <w:color w:val="000000"/>
                <w:sz w:val="20"/>
                <w:szCs w:val="20"/>
                <w:u w:val="none"/>
              </w:rPr>
            </w:pPr>
          </w:p>
        </w:tc>
      </w:tr>
      <w:tr w14:paraId="11309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1441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1A4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CC8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A43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营造良好社会风气</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A21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3A7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DADF8">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758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751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C6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1749A">
            <w:pPr>
              <w:jc w:val="center"/>
              <w:rPr>
                <w:rFonts w:hint="eastAsia" w:ascii="宋体" w:eastAsia="宋体" w:cs="宋体"/>
                <w:i w:val="0"/>
                <w:iCs w:val="0"/>
                <w:color w:val="000000"/>
                <w:sz w:val="20"/>
                <w:szCs w:val="20"/>
                <w:u w:val="none"/>
              </w:rPr>
            </w:pPr>
          </w:p>
        </w:tc>
      </w:tr>
      <w:tr w14:paraId="605F5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8807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94F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AC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172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8A8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26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70475">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FBA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1A9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81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FE43">
            <w:pPr>
              <w:jc w:val="center"/>
              <w:rPr>
                <w:rFonts w:hint="eastAsia" w:ascii="宋体" w:eastAsia="宋体" w:cs="宋体"/>
                <w:i w:val="0"/>
                <w:iCs w:val="0"/>
                <w:color w:val="000000"/>
                <w:sz w:val="20"/>
                <w:szCs w:val="20"/>
                <w:u w:val="none"/>
              </w:rPr>
            </w:pPr>
          </w:p>
        </w:tc>
      </w:tr>
      <w:tr w14:paraId="68E38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CC5BA"/>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90A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D80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4CF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B5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56F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77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BD6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27D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F3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02871">
            <w:pPr>
              <w:jc w:val="center"/>
              <w:rPr>
                <w:rFonts w:hint="eastAsia" w:ascii="宋体" w:eastAsia="宋体" w:cs="宋体"/>
                <w:i w:val="0"/>
                <w:iCs w:val="0"/>
                <w:color w:val="000000"/>
                <w:sz w:val="20"/>
                <w:szCs w:val="20"/>
                <w:u w:val="none"/>
              </w:rPr>
            </w:pPr>
          </w:p>
        </w:tc>
      </w:tr>
      <w:tr w14:paraId="5002B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7E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199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028E6">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F3A6">
            <w:pPr>
              <w:rPr>
                <w:rFonts w:hint="eastAsia" w:ascii="宋体" w:eastAsia="宋体" w:cs="宋体"/>
                <w:i w:val="0"/>
                <w:iCs w:val="0"/>
                <w:color w:val="000000"/>
                <w:sz w:val="20"/>
                <w:szCs w:val="20"/>
                <w:u w:val="none"/>
              </w:rPr>
            </w:pPr>
          </w:p>
        </w:tc>
      </w:tr>
      <w:tr w14:paraId="110BF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AA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38E7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2025年“扫黄打非”工作举措实，成效显著，为全市经济社会发展营造了清朗健康的文化空间。</w:t>
            </w:r>
          </w:p>
        </w:tc>
      </w:tr>
      <w:tr w14:paraId="444DB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79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C076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财力保障不足，开展宣传教育的活动较少，社会认知度不高。</w:t>
            </w:r>
          </w:p>
        </w:tc>
      </w:tr>
      <w:tr w14:paraId="6FCF2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F58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E517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加大财力保障，常态化开展宣传教育，常态化开展专项行动，为巴中社会建设提供清朗文化环境。</w:t>
            </w:r>
          </w:p>
        </w:tc>
      </w:tr>
      <w:tr w14:paraId="2F7C9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4996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项目负责人：马魁</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3600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5B2BA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2E536">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0F1F1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5D9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5B00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51190025T000013167831-2023党的创新理论宣传培训班</w:t>
            </w:r>
          </w:p>
        </w:tc>
      </w:tr>
      <w:tr w14:paraId="4B06C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04ED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27C8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009A2F2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13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52BE1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EE6F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9AD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C9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0E4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685C6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D9CA"/>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A1334"/>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E956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深入学习贯彻习近平文化思想，持续推进党的创新理论大众化普及化，通过理论学习、现场教学、观摩展示、经验交流等方式，引导参训学员扛牢“举旗帜、聚民心、育新人、兴文化、展形象”的使命任务，树牢“四个意识”、坚定“四个自信”、坚决做到“两个维护”，为奋进新时代新征程，谱写巴中现代化建设新篇章凝聚强大精神力量。</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B711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2023年党的创新理论宣传培训班项目目标全面完成，44人全勤参训，围绕习近平文化思想等设置课程，通过多元教学，有效推进党的创新理论大众化，引导学员扛牢使命任务、树牢“四个意识”，达到预期效果。</w:t>
            </w:r>
          </w:p>
        </w:tc>
      </w:tr>
      <w:tr w14:paraId="0CB35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3C5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994B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936F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次培训班于2023年10月30日至11月3日在中共巴中市委党校（四川大巴山干部学院）举办，为期5天。培训对象为市级相关部门（单位）分管负责同志、各县（区）党委宣传部及巴中经开区党群工作部、文旅示范区党政办负责同志、业务骨干及部机关相关科室干部，共44人全勤参训。培训内容紧扣理论武装工作实际，设置“理响巴蜀”理论宣讲短视频策划制作、“学习强国”学习平台管理应用、理论宣讲、调查研究与调研报告写作、党性教育等课程。采取集中授课、示范观摩、交流发言、现场教学相结合的方式进行，做到现场与课堂、观摩与会议、授课与交流“三个结合”。培训期间严格管理、严明纪律，全体学员顺利完成学业并结业。通过培训，有效提升了参训学员的理论素养和业务能力。</w:t>
            </w:r>
          </w:p>
        </w:tc>
      </w:tr>
      <w:tr w14:paraId="09258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77A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348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8AF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3F2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42E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AA9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192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3B7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7A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03F3B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740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2EF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D5D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71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8.72</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5DE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8.72</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088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907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81F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C6B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029B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73EBA"/>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8C7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88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0A7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8.72</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032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8.72</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C93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808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B18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35D8C"/>
        </w:tc>
      </w:tr>
      <w:tr w14:paraId="39C15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377D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77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E70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067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9C9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BA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814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981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10EE"/>
        </w:tc>
      </w:tr>
      <w:tr w14:paraId="36789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43FC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FAB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51D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9C4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B35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56A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490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653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E5353"/>
        </w:tc>
      </w:tr>
      <w:tr w14:paraId="7977D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F890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51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FFC3">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A33C6">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F721C">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A201C">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17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B2A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0FBC9"/>
        </w:tc>
      </w:tr>
      <w:tr w14:paraId="7910F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376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FDB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8B1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BEB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D73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BB4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195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8A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DF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84E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C82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21E38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97772"/>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A7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427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FC9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举办党的理论创新宣传培训班</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06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176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493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F10F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B94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B13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B0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7FA86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CCEF6"/>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67A51"/>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88E1"/>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543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培训人次</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F30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FAA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E64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F42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FA3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D7F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151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5C30D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89700"/>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129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4ADF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14C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为奋进新时代新征程，谱写巴中现代化建设新篇章凝聚强大精神力量</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D0E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B57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924A8">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589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56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76F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18</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BF9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5F5CD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D30F"/>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FB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4D3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138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参与培训人员满意度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C34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41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D8C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96C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525F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4AAD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E5DE">
            <w:pPr>
              <w:keepNext w:val="0"/>
              <w:keepLines w:val="0"/>
              <w:widowControl/>
              <w:suppressLineNumbers w:val="0"/>
              <w:jc w:val="center"/>
              <w:textAlignment w:val="center"/>
              <w:rPr>
                <w:rFonts w:ascii="Symbol" w:hAnsi="Symbol" w:eastAsia="宋体" w:cs="Symbol"/>
                <w:i w:val="0"/>
                <w:iCs w:val="0"/>
                <w:color w:val="000000"/>
                <w:sz w:val="20"/>
                <w:szCs w:val="20"/>
                <w:u w:val="none"/>
              </w:rPr>
            </w:pPr>
            <w:r>
              <w:rPr>
                <w:rFonts w:ascii="Symbol" w:hAnsi="Symbol" w:eastAsia="宋体" w:cs="Symbol"/>
                <w:i w:val="0"/>
                <w:iCs w:val="0"/>
                <w:color w:val="000000"/>
                <w:kern w:val="0"/>
                <w:sz w:val="20"/>
                <w:szCs w:val="20"/>
                <w:u w:val="none"/>
                <w:lang w:val="en-US" w:eastAsia="zh-CN"/>
              </w:rPr>
              <w:t></w:t>
            </w:r>
          </w:p>
        </w:tc>
      </w:tr>
      <w:tr w14:paraId="45474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46E5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A39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5A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D7D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351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FF8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90000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FFC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67A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FFE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751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22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27EE8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576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357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6C5C2">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97.5</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2E55C">
            <w:pPr>
              <w:rPr>
                <w:rFonts w:hint="eastAsia" w:ascii="宋体" w:eastAsia="宋体" w:cs="宋体"/>
                <w:i w:val="0"/>
                <w:iCs w:val="0"/>
                <w:color w:val="000000"/>
                <w:sz w:val="20"/>
                <w:szCs w:val="20"/>
                <w:u w:val="none"/>
              </w:rPr>
            </w:pPr>
          </w:p>
        </w:tc>
      </w:tr>
      <w:tr w14:paraId="5B0A7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B55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BE37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根据自评，本项目自评总分为97.5分。主要成效：一是44名学员全勤参训，围绕“理响巴蜀”短视频策划、“学习强国”管理、理论宣讲、调查研究等课程，通过集中授课、现场教学等多元形式，有效提升了全市理论战线干部的业务素养和实践能力。二是深入学习贯彻习近平文化思想，强化了使命担当，为巴中现代化建设凝聚了精神力量。三是培训纪律严明，达到预期效果，但个别单位代训和学员迟到早退问题需后续改进。</w:t>
            </w:r>
          </w:p>
        </w:tc>
      </w:tr>
      <w:tr w14:paraId="23B2E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391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769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是个别单位重视不够，以人手少、工作忙为由派人代训；二是个别学员自我要求不严，偶有迟到、早退。原因分析：部分单位对理论武装工作的极端重要性认识不足，重业务轻学习，未能妥善处理工学矛盾；少数学员纪律意识和规矩意识淡化，缺乏严格自我约束。</w:t>
            </w:r>
          </w:p>
        </w:tc>
      </w:tr>
      <w:tr w14:paraId="1AD73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07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EA55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严明调训纪律，实行“谁参训、谁负责”，确需调整须书面报批；强化学员管理，推行学分制考核，将出勤、课堂表现纳入结业评价，对违纪学员通报所在单位；优化课程设计，增加案例教学、互动研讨比重。同时建议建立理论武装培训轮训长效机制，每年组织1次赴市外专题培训；将参训情况及成效纳入单位意识形态工作年度考核，压实单位主体责任。</w:t>
            </w:r>
          </w:p>
        </w:tc>
      </w:tr>
      <w:tr w14:paraId="1E3F6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C42B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项目负责人：吕淑萍</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B136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69EF1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AA2C0">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68426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458F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8104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51190025T000013171185-2025年年初部门预算特定目标类项目203001市委宣传部“响网巴中”微宣讲暨“理论大家讲”全媒体直播经费</w:t>
            </w:r>
          </w:p>
        </w:tc>
      </w:tr>
      <w:tr w14:paraId="45F9E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6BB0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FDB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23EE5C5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3B0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064D8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A108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C581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F1D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2F3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6E0BB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60AF2"/>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F5965"/>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AFEE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以习近平新时代中国特色社会主义思想宣讲为主线，围绕中央、省、市全会精神开展网络宣讲，发布“响网巴中”短视频、开展“理论大家讲”全媒体直播，打造“理响巴蜀”理论宣讲品牌，推动党的创新理论深入党员干部群众发布“响网巴中”短视频、制播“理论大家讲”全媒体直播，依托巴山红宣讲团，开展宣讲活动。</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1BD1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中央、省、市全会精神开展网络宣讲，推出理论宣讲融媒体产品278部（篇），2部短视频获“理响巴蜀”平台展播，“理论大家讲”单场直播累计观看量突破3万。组织“巴山红宣讲团”的骨干宣讲员积极参与重大主题宣讲，并开展“新思想·话改革”主题巡回宣讲7场，线上线下覆盖10万人次。</w:t>
            </w:r>
          </w:p>
        </w:tc>
      </w:tr>
      <w:tr w14:paraId="35508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7AAB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48A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54AD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党的二十届四中全会，省委十二届七次、八次全会，市委五届十次全会、十一次全会精神，组建市、县（区）两级宣讲团179个，开展集中宣讲850场次，组建各类基层宣讲队伍2000余个，开展集中宣讲6000余场次。组织“巴山红”宣讲团宣讲员开展“新思想·话改革”主题巡回宣讲7场，线上线下覆盖10万人次。充分发挥“响网巴中”微宣讲、“理论大家讲”全媒体直播等网络宣讲品牌作用，围绕中央、省委和市委全会精神，开设“全会精神开讲啦”等专栏，充分运用视频、图解、海报、VLOG、长图等形式，推出理论宣讲融媒体产品278部（篇），《古镇不“古”》、《以树之名》获“理响巴蜀”平台展播，其中《古镇不“古”》全网播放量突破1000万，“理论大家讲”12场。</w:t>
            </w:r>
          </w:p>
        </w:tc>
      </w:tr>
      <w:tr w14:paraId="53149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C0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17C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092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54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40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479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2C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E1C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F2F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0CFB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2A79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FE0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1E2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4E2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44.95</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840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44.95</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5D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A26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C38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BBA1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17FA5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5FA2"/>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2C5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705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338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44.95</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42B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44.95</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DC1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A2E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102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FEE15"/>
        </w:tc>
      </w:tr>
      <w:tr w14:paraId="49AD3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21911"/>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533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ABA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D1D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38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752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4B0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83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76830"/>
        </w:tc>
      </w:tr>
      <w:tr w14:paraId="2B502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6895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369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AE1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ABB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4FB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A74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4C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39B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5C878"/>
        </w:tc>
      </w:tr>
      <w:tr w14:paraId="21443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C23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857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EBC14">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AFB57">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46AB3">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D598E">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930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A5A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7BB2"/>
        </w:tc>
      </w:tr>
      <w:tr w14:paraId="0D1FD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47D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7D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0BA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431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74D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D79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8B7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9BE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11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415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C1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3963D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06DD2"/>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7D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D7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4E5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全年组建市级宣讲团开展主题宣讲</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18C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E69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DD6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5A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5A0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76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4F8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50A71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D8328"/>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EDCC9"/>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36062"/>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7A1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制播“理论大家讲”全媒体直播</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A1B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4AF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C17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期</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FBD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24D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73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8E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77A2B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5EAA"/>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24E9F"/>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189D7"/>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77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发布“响网巴中”短视频</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7B1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4E6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C0F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期</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745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9B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29E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AE1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375E7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23BF"/>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96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30A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DAF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宣讲党的创新理论，凝聚社会广泛共识</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6B9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3E0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74EC">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14A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6A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B5E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18</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02BC3">
            <w:pPr>
              <w:keepNext w:val="0"/>
              <w:keepLines w:val="0"/>
              <w:widowControl/>
              <w:suppressLineNumbers w:val="0"/>
              <w:jc w:val="center"/>
              <w:textAlignment w:val="center"/>
              <w:rPr>
                <w:rFonts w:ascii="Symbol" w:hAnsi="Symbol" w:eastAsia="宋体" w:cs="Symbol"/>
                <w:i w:val="0"/>
                <w:iCs w:val="0"/>
                <w:color w:val="000000"/>
                <w:sz w:val="20"/>
                <w:szCs w:val="20"/>
                <w:u w:val="none"/>
              </w:rPr>
            </w:pPr>
            <w:r>
              <w:rPr>
                <w:rFonts w:ascii="Symbol" w:hAnsi="Symbol" w:eastAsia="宋体" w:cs="Symbol"/>
                <w:i w:val="0"/>
                <w:iCs w:val="0"/>
                <w:color w:val="000000"/>
                <w:kern w:val="0"/>
                <w:sz w:val="20"/>
                <w:szCs w:val="20"/>
                <w:u w:val="none"/>
                <w:lang w:val="en-US" w:eastAsia="zh-CN"/>
              </w:rPr>
              <w:t></w:t>
            </w:r>
          </w:p>
        </w:tc>
      </w:tr>
      <w:tr w14:paraId="52B8A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2413"/>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A7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92A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313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334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8FD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D24EE">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D5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853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F0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F34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04040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050D"/>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B22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FA0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0E0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87D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00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88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F80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BF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983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B06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63D4B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263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220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ED2DE">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96</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12A3">
            <w:pPr>
              <w:rPr>
                <w:rFonts w:hint="eastAsia" w:ascii="宋体" w:eastAsia="宋体" w:cs="宋体"/>
                <w:i w:val="0"/>
                <w:iCs w:val="0"/>
                <w:color w:val="000000"/>
                <w:sz w:val="20"/>
                <w:szCs w:val="20"/>
                <w:u w:val="none"/>
              </w:rPr>
            </w:pPr>
          </w:p>
        </w:tc>
      </w:tr>
      <w:tr w14:paraId="22F7A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7A2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982D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根据自评，本项目自评总分为95.5分。主要成效：围绕党的二十届四中全会、省委十二届八次和市委五届十一次全会精神，“响网巴中”微宣讲、“理论大家讲”全媒体直播开设“全会精神开讲啦”等专栏，推出理论宣讲融媒体产品278部（篇），《古镇不“古”》、《以树之名》获“理响巴蜀”平台展播，其中《古镇不“古”》全网播放量突破1000万，“理论大家讲”单场直播累计观看量突破3万，切实推动党的创新理论入脑入心。遴选“巴山红”宣讲团优秀的宣讲员成为市委宣讲团成员，参与中央、省委和市委全会精神宣讲，选拔7名宣讲员参与开展“新思想·话改革”主题巡回宣讲7场，线上线下覆盖10万人次。</w:t>
            </w:r>
          </w:p>
        </w:tc>
      </w:tr>
      <w:tr w14:paraId="3B325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442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BF9A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一是内容时效性不足，重大主题宣传响应不够迅速，视频策划制作存在滞后；二是品牌推广力度不够，传播矩阵联动不足，未形成持续刷屏的传播声势和广泛社会影响力。</w:t>
            </w:r>
          </w:p>
        </w:tc>
      </w:tr>
      <w:tr w14:paraId="0FCF3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E37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53D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优化重大主题响应机制，提前策划、压缩制作周期，提升宣传时效性；整合平台资源，强化多渠道联动推广，加大社交平台投放与互动运营，打造爆款产品，持续扩大理论宣讲覆盖面与传播力。</w:t>
            </w:r>
          </w:p>
        </w:tc>
      </w:tr>
      <w:tr w14:paraId="6F2D5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9A1C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项目负责人：张晋珠</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6CF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50F40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7BC2D">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31518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98FC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EBC4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51190025T000013169842-2025年年初部门预算特定目标类项目203001市委宣传部市委中心组学习会议费</w:t>
            </w:r>
          </w:p>
        </w:tc>
      </w:tr>
      <w:tr w14:paraId="60576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3D2F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C2FD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4A22F3B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0E3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1FA5A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3CB7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39A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09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822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2E267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AC97E"/>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8CA5"/>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589B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党委中心组学习以政治学习为根本，把旗帜鲜明讲政治的要求体现到学习全过程。党委中心组学习着眼提高领导干部理论素养，努力掌握和运用马克思主义立场观点方法，真正把马克思主义看家本领学到手。党委中心组学习要弘扬理论联系实际的马克思主义学风，把研究解决问题作为学习的出发点和落脚点。</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B6A6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巴中市委坚持以习近平新时代中国特色社会主义思想为指导，认真落实《中国共产党党委（党组）理论学习中心组学习规则》，深入学习贯彻党的二十届四中全会和省委十二届七次、八次全会精神，坚持高站位谋划、高标准组织、高质量推进市委理论学习中心组学习工作，大力弘扬马克思主义学风，力戒形式主义，理论学习严肃规范、有效有序，为全市经济社会高质量发展注入了强劲的思想动力和理论支撑。</w:t>
            </w:r>
          </w:p>
        </w:tc>
      </w:tr>
      <w:tr w14:paraId="092FC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151D"/>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6E22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5663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集体学习研讨11次，3名市领导和市委网信办主要负责同志在理论学习中心组会上作领学辅导；先后邀请中国电信集团首席科学家张宝玉、华高莱斯董事长李忠、彭州市桂花镇金城社区党委书记岳付飞等8名领导专家来巴，开展数字中国建设、文旅融合发展、城市“规建运治”和城乡融合发展等领域专题辅导，组织部分中心组成员赴全国19个革命老区重点城市和雄安新区、景德镇市、彭州市等地学习考察，深入基层一线开展调研300余次，形成高质量调研成果40项。</w:t>
            </w:r>
          </w:p>
        </w:tc>
      </w:tr>
      <w:tr w14:paraId="2DEB5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217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B5C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19D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D8A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843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ED5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471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1DD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F17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0071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3CEB2"/>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8F1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03A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00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17.64</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580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17.64</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3CC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A91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E9E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7CCD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480EF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4A9A3"/>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E02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269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25.00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E09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17.64</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DDE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17.64</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D2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DA7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84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DAFDD"/>
        </w:tc>
      </w:tr>
      <w:tr w14:paraId="7167E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B757D"/>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59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E64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D46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EE3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2B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7C9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DC8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5930F"/>
        </w:tc>
      </w:tr>
      <w:tr w14:paraId="6AF31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83DBD"/>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FE1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7BE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1B0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0B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2E2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3A2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A2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A86B8"/>
        </w:tc>
      </w:tr>
      <w:tr w14:paraId="09A3C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17C93"/>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70B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9E418">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646F1">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6175F">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8F379">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670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610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A8A32"/>
        </w:tc>
      </w:tr>
      <w:tr w14:paraId="2AB5E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F6A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388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F04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984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8B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2D1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6C6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F3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C5A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927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BB6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0F650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0874D"/>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5C7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1FB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C93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编印中心组学习资料</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DB0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43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22B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册</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B2C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EA2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A50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4A43E">
            <w:pPr>
              <w:jc w:val="center"/>
              <w:rPr>
                <w:rFonts w:hint="eastAsia" w:ascii="宋体" w:eastAsia="宋体" w:cs="宋体"/>
                <w:i w:val="0"/>
                <w:iCs w:val="0"/>
                <w:color w:val="000000"/>
                <w:sz w:val="20"/>
                <w:szCs w:val="20"/>
                <w:u w:val="none"/>
              </w:rPr>
            </w:pPr>
          </w:p>
        </w:tc>
      </w:tr>
      <w:tr w14:paraId="649AB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E5147"/>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299B4"/>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D1DFC"/>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ABB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执行《中国共产党党委（党组）理论学习中心组学习规则》，筹办集体学习研讨</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CAF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B1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E34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8F1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015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7C9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D7BF1">
            <w:pPr>
              <w:jc w:val="center"/>
              <w:rPr>
                <w:rFonts w:hint="eastAsia" w:ascii="宋体" w:eastAsia="宋体" w:cs="宋体"/>
                <w:i w:val="0"/>
                <w:iCs w:val="0"/>
                <w:color w:val="000000"/>
                <w:sz w:val="20"/>
                <w:szCs w:val="20"/>
                <w:u w:val="none"/>
              </w:rPr>
            </w:pPr>
          </w:p>
        </w:tc>
      </w:tr>
      <w:tr w14:paraId="18B9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DF23"/>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DAEA7"/>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67A7"/>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876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订购学习书籍</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36F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CF4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D11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期</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9F4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1DB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A83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31450">
            <w:pPr>
              <w:jc w:val="center"/>
              <w:rPr>
                <w:rFonts w:hint="eastAsia" w:ascii="宋体" w:eastAsia="宋体" w:cs="宋体"/>
                <w:i w:val="0"/>
                <w:iCs w:val="0"/>
                <w:color w:val="000000"/>
                <w:sz w:val="20"/>
                <w:szCs w:val="20"/>
                <w:u w:val="none"/>
              </w:rPr>
            </w:pPr>
          </w:p>
        </w:tc>
      </w:tr>
      <w:tr w14:paraId="70292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3D116"/>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8E02D"/>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838CD"/>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862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邀请专家学习作专题辅导报告</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635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EB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B0C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A40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0C6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74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51EEF">
            <w:pPr>
              <w:jc w:val="center"/>
              <w:rPr>
                <w:rFonts w:hint="eastAsia" w:ascii="宋体" w:eastAsia="宋体" w:cs="宋体"/>
                <w:i w:val="0"/>
                <w:iCs w:val="0"/>
                <w:color w:val="000000"/>
                <w:sz w:val="20"/>
                <w:szCs w:val="20"/>
                <w:u w:val="none"/>
              </w:rPr>
            </w:pPr>
          </w:p>
        </w:tc>
      </w:tr>
      <w:tr w14:paraId="1A561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E30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5B7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851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D30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用党的创新理论武装头脑、指导实践、推动工作。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A3F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471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26DE9">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27C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7A86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CDA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98BDD">
            <w:pPr>
              <w:jc w:val="center"/>
              <w:rPr>
                <w:rFonts w:hint="eastAsia" w:ascii="宋体" w:eastAsia="宋体" w:cs="宋体"/>
                <w:i w:val="0"/>
                <w:iCs w:val="0"/>
                <w:color w:val="000000"/>
                <w:sz w:val="20"/>
                <w:szCs w:val="20"/>
                <w:u w:val="none"/>
              </w:rPr>
            </w:pPr>
          </w:p>
        </w:tc>
      </w:tr>
      <w:tr w14:paraId="4BC69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69A0"/>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75F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D64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97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D8F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F60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ADCED">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21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536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A8D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4F1E">
            <w:pPr>
              <w:jc w:val="center"/>
              <w:rPr>
                <w:rFonts w:hint="eastAsia" w:ascii="宋体" w:eastAsia="宋体" w:cs="宋体"/>
                <w:i w:val="0"/>
                <w:iCs w:val="0"/>
                <w:color w:val="000000"/>
                <w:sz w:val="20"/>
                <w:szCs w:val="20"/>
                <w:u w:val="none"/>
              </w:rPr>
            </w:pPr>
          </w:p>
        </w:tc>
      </w:tr>
      <w:tr w14:paraId="6A98D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DACB2"/>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33A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B3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239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F86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9ED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271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BE3C2">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C4A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11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5A41A">
            <w:pPr>
              <w:jc w:val="center"/>
              <w:rPr>
                <w:rFonts w:hint="eastAsia" w:ascii="宋体" w:eastAsia="宋体" w:cs="宋体"/>
                <w:i w:val="0"/>
                <w:iCs w:val="0"/>
                <w:color w:val="000000"/>
                <w:sz w:val="20"/>
                <w:szCs w:val="20"/>
                <w:u w:val="none"/>
              </w:rPr>
            </w:pPr>
          </w:p>
        </w:tc>
      </w:tr>
      <w:tr w14:paraId="1A465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69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B13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34FE">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E7E98">
            <w:pPr>
              <w:rPr>
                <w:rFonts w:hint="eastAsia" w:ascii="宋体" w:eastAsia="宋体" w:cs="宋体"/>
                <w:i w:val="0"/>
                <w:iCs w:val="0"/>
                <w:color w:val="000000"/>
                <w:sz w:val="20"/>
                <w:szCs w:val="20"/>
                <w:u w:val="none"/>
              </w:rPr>
            </w:pPr>
          </w:p>
        </w:tc>
      </w:tr>
      <w:tr w14:paraId="5B94B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E62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F8C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市委理论学习中心组学习坚持以政治学习为根本，以深入学习贯彻习近平新时代中国特色社会主义思想为主题主线，开展集体学习研讨11次，努力从党的创新理论中探寻中国式现代化巴中实践的科学路径。聚焦乡村振兴、营商环境、产业融圈建链、金融工作等经济社会发展重点领域，开展集体研讨8次，专题学习党的二十届四中全会和省委十二届七次、八次全会精神，结合巴中实际，研究出台《关于深入贯彻省委十二届七次全会精神推进文化和旅游深度融合发展的实施意见》《关于制定巴中市国民经济和社会发展第十五个五年规划的建议》等一系列打基础利长远的政策措施，真正把学习成果转化为推动高质量发展的实践动力。切实将学习成果转化为推动高质量发展的实际成效。</w:t>
            </w:r>
          </w:p>
        </w:tc>
      </w:tr>
      <w:tr w14:paraId="2BA45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F5A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CB6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结合自评情况，分析存在的问题及原因。（200字以内）</w:t>
            </w:r>
          </w:p>
        </w:tc>
      </w:tr>
      <w:tr w14:paraId="22B16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4BD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B9E7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针对项目自评中发现的问题，提出下一步改进完善的意见及有关政策性建议。（200字以内）</w:t>
            </w:r>
          </w:p>
        </w:tc>
      </w:tr>
      <w:tr w14:paraId="44D77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626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项目负责人：蒋辉龙</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4D0C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05129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E2EE">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5646C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031C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9FD5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51190025T000013171210-2025年年初部门预算特定目标类项目203001市委宣传部青少年书画传习活动经费</w:t>
            </w:r>
          </w:p>
        </w:tc>
      </w:tr>
      <w:tr w14:paraId="67776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6AA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A175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7DA5012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0B8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20B5D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22C5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BC14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16B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FBE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55FF5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8EDCF"/>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66AB2"/>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D6B0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开展青少年书画传学活动，培养青少年对书法、国画的兴趣，提升全市中小学生传统文化水平</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66B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7月12日，以“文化传承强国有我”为主题的巴中市第四届青少年书画传习大会市级选拔赛启幕，自活动开展以来，1000余名学生踊跃参与，经过初赛、复赛，最终238名青少年书画爱好者晋级市级选拔赛，大家齐聚一堂，一展风采，共同感受中华传统文化的独特魅力。共选拔出26名中小学生参加了8月下旬在射洪市举行的全省决赛，我市参赛学生王媛、胥智邦获中国书法一等奖，刘思诚获中国书法三等奖；罗思颖、李润芝、何晶、齐娅琼获中国画三等奖；黄博获教学课例二等奖，何龙、龙泉获三等奖，共10人次获奖。我市已连续四届在青少年书画传习大会全省决赛中收获一等奖，王媛连续三届，李润芝、齐娅琼连续两届在全省决赛中获奖。</w:t>
            </w:r>
          </w:p>
        </w:tc>
      </w:tr>
      <w:tr w14:paraId="5E1DA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0B3F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C05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D604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该活动自2025年5月份启动以来，全市超过1000余名学生踊跃参与，经过初赛、复赛，最终238名青少年书画爱好者晋级市级选拔赛，2025年7月12日，以“文化传承强国有我”为主题的巴中市第四届青少年书画传习大会市级选拔赛在巴中市兴合阳光酒店举行，优秀作品展同步在市文广体旅局微信公众号发布，经过理论素养答题、现场作品创作等环节，共选拔出26名中小学生参加了8月下旬在射洪市举行的全省决赛，我市参赛学生王媛、胥智邦获中国书法一等奖，刘思诚获中国书法三等奖；罗思颖、李润芝、何晶、齐娅琼获中国画三等奖；黄博获教学课例二等奖，何龙、龙泉获三等奖，共10人次获奖。我市已连续四届在青少年书画传习大会全省决赛中收获一等奖，王媛连续三届，李润芝、齐娅琼连续两届在全省决赛中获奖。</w:t>
            </w:r>
          </w:p>
        </w:tc>
      </w:tr>
      <w:tr w14:paraId="6AD2B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F1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13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A62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76C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2EA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86C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C8D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A3D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652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7C74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A2091"/>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6ED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8BA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8E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6.37</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023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6.37</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BE8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44E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FC3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A6DC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460F2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ADD1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EA1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7A2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3A5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6.37</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7C9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6.37</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FCF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B1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2FE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CC315"/>
        </w:tc>
      </w:tr>
      <w:tr w14:paraId="1416C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294C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7FD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C01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C63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8E0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30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C29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E10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832B"/>
        </w:tc>
      </w:tr>
      <w:tr w14:paraId="377B8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8360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7BB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8F7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3FF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566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D3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854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52A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8A9C3"/>
        </w:tc>
      </w:tr>
      <w:tr w14:paraId="5809F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3A9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7D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90F9D">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CEF54">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FF499">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65F7B">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CFB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C1F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8D50"/>
        </w:tc>
      </w:tr>
      <w:tr w14:paraId="4E162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09B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AA1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4B7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82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68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F61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9B2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A83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5E4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FF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C5B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1562F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0540C"/>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DC0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209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0F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推广链接宣传</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2D1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42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FC9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浏览、点击量</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13E9">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742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5AC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E05AE">
            <w:pPr>
              <w:jc w:val="center"/>
              <w:rPr>
                <w:rFonts w:hint="eastAsia" w:ascii="宋体" w:eastAsia="宋体" w:cs="宋体"/>
                <w:i w:val="0"/>
                <w:iCs w:val="0"/>
                <w:color w:val="000000"/>
                <w:sz w:val="20"/>
                <w:szCs w:val="20"/>
                <w:u w:val="none"/>
              </w:rPr>
            </w:pPr>
          </w:p>
        </w:tc>
      </w:tr>
      <w:tr w14:paraId="6F7F4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70FAF"/>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514F"/>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C676"/>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10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开展市级决赛</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46B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DB1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DA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210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FC5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E30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8CFE">
            <w:pPr>
              <w:jc w:val="center"/>
              <w:rPr>
                <w:rFonts w:hint="eastAsia" w:ascii="宋体" w:eastAsia="宋体" w:cs="宋体"/>
                <w:i w:val="0"/>
                <w:iCs w:val="0"/>
                <w:color w:val="000000"/>
                <w:sz w:val="20"/>
                <w:szCs w:val="20"/>
                <w:u w:val="none"/>
              </w:rPr>
            </w:pPr>
          </w:p>
        </w:tc>
      </w:tr>
      <w:tr w14:paraId="2907A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11CFD"/>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2C49B"/>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22F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质量指标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A2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高质量完成，并参加省级决赛</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C84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971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2F2FD">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6BB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F95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5EE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0194">
            <w:pPr>
              <w:jc w:val="center"/>
              <w:rPr>
                <w:rFonts w:hint="eastAsia" w:ascii="宋体" w:eastAsia="宋体" w:cs="宋体"/>
                <w:i w:val="0"/>
                <w:iCs w:val="0"/>
                <w:color w:val="000000"/>
                <w:sz w:val="20"/>
                <w:szCs w:val="20"/>
                <w:u w:val="none"/>
              </w:rPr>
            </w:pPr>
          </w:p>
        </w:tc>
      </w:tr>
      <w:tr w14:paraId="352CC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2234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498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31F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C2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推动中国书画在青少年中广泛传播</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3DA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AA0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29FBF">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1CA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65A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168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387AA">
            <w:pPr>
              <w:jc w:val="center"/>
              <w:rPr>
                <w:rFonts w:hint="eastAsia" w:ascii="宋体" w:eastAsia="宋体" w:cs="宋体"/>
                <w:i w:val="0"/>
                <w:iCs w:val="0"/>
                <w:color w:val="000000"/>
                <w:sz w:val="20"/>
                <w:szCs w:val="20"/>
                <w:u w:val="none"/>
              </w:rPr>
            </w:pPr>
          </w:p>
        </w:tc>
      </w:tr>
      <w:tr w14:paraId="01803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0C13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9B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7E0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CC0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群众满意率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680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C11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DFA1C">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AC9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939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17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73E0">
            <w:pPr>
              <w:jc w:val="center"/>
              <w:rPr>
                <w:rFonts w:hint="eastAsia" w:ascii="宋体" w:eastAsia="宋体" w:cs="宋体"/>
                <w:i w:val="0"/>
                <w:iCs w:val="0"/>
                <w:color w:val="000000"/>
                <w:sz w:val="20"/>
                <w:szCs w:val="20"/>
                <w:u w:val="none"/>
              </w:rPr>
            </w:pPr>
          </w:p>
        </w:tc>
      </w:tr>
      <w:tr w14:paraId="3F197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EBC2A"/>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41A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F49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A86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54D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FD4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231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EC0B">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479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2A5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BE1D5">
            <w:pPr>
              <w:jc w:val="center"/>
              <w:rPr>
                <w:rFonts w:hint="eastAsia" w:ascii="宋体" w:eastAsia="宋体" w:cs="宋体"/>
                <w:i w:val="0"/>
                <w:iCs w:val="0"/>
                <w:color w:val="000000"/>
                <w:sz w:val="20"/>
                <w:szCs w:val="20"/>
                <w:u w:val="none"/>
              </w:rPr>
            </w:pPr>
          </w:p>
        </w:tc>
      </w:tr>
      <w:tr w14:paraId="7B3E1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55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FF5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C23B8">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0D41">
            <w:pPr>
              <w:rPr>
                <w:rFonts w:hint="eastAsia" w:ascii="宋体" w:eastAsia="宋体" w:cs="宋体"/>
                <w:i w:val="0"/>
                <w:iCs w:val="0"/>
                <w:color w:val="000000"/>
                <w:sz w:val="20"/>
                <w:szCs w:val="20"/>
                <w:u w:val="none"/>
              </w:rPr>
            </w:pPr>
          </w:p>
        </w:tc>
      </w:tr>
      <w:tr w14:paraId="635E1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EE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365C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8月20日至8月22日，第四届青少年书画传习大会全省决赛暨嘉年华活动举行，我市参赛学生王媛、胥智邦获中国书法一等奖，刘思诚获中国书法三等奖；罗思颖、李润芝、何晶、齐娅琼获中国画三等奖；黄博获教学课例二等奖，何龙、龙泉获三等奖，共10人次获奖。我市已连续四届在青少年书画传习大会全省决赛中收获一等奖，王媛连续三届，李润芝、齐娅琼连续两届在全省决赛中获奖。通过持续举办青少年书画传习大会，我市不断健全书画艺术青少年传习体系，推动中华优秀传统文化创造性转化、创新性发展走深走实。赛事累计覆盖全市数千名中小学生，先后选拔近百名优秀选手征战全省决赛，既为青少年搭建了展示才艺、切磋技艺的优质平台，也全面夯实了我市书画艺术传承的青少年根基，有效推动美育教育与文化传承深度融合。</w:t>
            </w:r>
          </w:p>
        </w:tc>
      </w:tr>
      <w:tr w14:paraId="05D3C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ECA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1F85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2E7C1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D67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7B7C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1BB97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7404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项目负责人：付强</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A916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6ABB1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B20D">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7FC6C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2BB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CBF8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51190025T000013171152-2025年年初部门预算特定目标类项目203001市委宣传部乡村文化振兴暨文化进万家工作经费</w:t>
            </w:r>
          </w:p>
        </w:tc>
      </w:tr>
      <w:tr w14:paraId="3DD86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B9B0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C205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70CE27E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D3A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4677F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C4F5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C4EA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6E1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282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3EDB3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BB6FF"/>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2DD3E"/>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7A8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拧紧中央、省委要求，创新实施乡村文化振兴“百千万”工程，做好脱贫攻坚与乡村振兴“接力棒”的文化交接，擘画蜀地乡村振兴新图景；组织开展“我们的中国梦—文化进万家”系列文化惠民活动，为群众提供高质量的精神文化产品</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376F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2025年，9月19日“四川‘乡’当潮 巴中立潮头”四川省第五届乡村文化振兴魅力竞演大赛（巴中赛区）市级竞演成功举行，南江县杨坝镇脱获一等奖，平昌县板庙镇、平昌县邱家镇获二等奖，南江县集州街道办事处、巴中经开区兴文街道办事处、巴州区宕梁街道办事处获得三等奖，通江县民胜镇、恩阳区登科街道办事处、恩阳区尹家镇、通江县广纳镇、巴中文旅示范区、巴州区东城街道办事处获魅力乡镇奖。11月4日晚，四川省第五届乡村文化振兴魅力竞演大赛决赛在巴中市举行，平昌县邱家镇获全省三等奖。</w:t>
            </w:r>
          </w:p>
        </w:tc>
      </w:tr>
      <w:tr w14:paraId="6425E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7277B"/>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E025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76FB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2025年，9月19日“四川‘乡’当潮 巴中立潮头”四川省第五届乡村文化振兴魅力竞演大赛（巴中赛区）市级竞演成功举行，南江县杨坝镇脱获一等奖，平昌县板庙镇、平昌县邱家镇获二等奖，南江县集州街道办事处、巴中经开区兴文街道办事处、巴州区宕梁街道办事处获得三等奖，通江县民胜镇、恩阳区登科街道办事处、恩阳区尹家镇、通江县广纳镇、巴中文旅示范区、巴州区东城街道办事处获魅力乡镇奖。11月4日晚，四川省第五届乡村文化振兴魅力竞演大赛决赛在巴中市举行，全省10支队伍同台竞技，平昌县邱家镇获全省三等奖。</w:t>
            </w:r>
          </w:p>
        </w:tc>
      </w:tr>
      <w:tr w14:paraId="32D00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2D0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956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D0C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69C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F1A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DB1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D50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5C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5A4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7E0A6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9A628"/>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A55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063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1C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16.60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AE7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16.60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646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C3C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9BC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F875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45446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79B12"/>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B58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C7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45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16.60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DD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16.60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18A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FEC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4AE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23F2A"/>
        </w:tc>
      </w:tr>
      <w:tr w14:paraId="38E50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B6450"/>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ABE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525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D0E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C87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3CE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3FB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8B1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03006"/>
        </w:tc>
      </w:tr>
      <w:tr w14:paraId="0D64A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7848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34E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FDD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B4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179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634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4FC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FAE6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0C9A"/>
        </w:tc>
      </w:tr>
      <w:tr w14:paraId="42F9F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CA07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580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B3045">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3FC7D">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7BCD0">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35389">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109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C3E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9652C"/>
        </w:tc>
      </w:tr>
      <w:tr w14:paraId="52681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2CF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6CA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FD2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FE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A36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34A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191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B7B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0CC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4E4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9E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26978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D2673"/>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74E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825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0AE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举办乡村文化振兴市级魅力竞演</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14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2A9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4E6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1C8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F06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CF2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E190F">
            <w:pPr>
              <w:jc w:val="center"/>
              <w:rPr>
                <w:rFonts w:hint="eastAsia" w:ascii="宋体" w:eastAsia="宋体" w:cs="宋体"/>
                <w:i w:val="0"/>
                <w:iCs w:val="0"/>
                <w:color w:val="000000"/>
                <w:sz w:val="20"/>
                <w:szCs w:val="20"/>
                <w:u w:val="none"/>
              </w:rPr>
            </w:pPr>
          </w:p>
        </w:tc>
      </w:tr>
      <w:tr w14:paraId="51425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ED6C9"/>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F7003"/>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80744"/>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2E2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开展群众性文艺展演</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FB6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4EA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29C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0E1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300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B3E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3C657">
            <w:pPr>
              <w:jc w:val="center"/>
              <w:rPr>
                <w:rFonts w:hint="eastAsia" w:ascii="宋体" w:eastAsia="宋体" w:cs="宋体"/>
                <w:i w:val="0"/>
                <w:iCs w:val="0"/>
                <w:color w:val="000000"/>
                <w:sz w:val="20"/>
                <w:szCs w:val="20"/>
                <w:u w:val="none"/>
              </w:rPr>
            </w:pPr>
          </w:p>
        </w:tc>
      </w:tr>
      <w:tr w14:paraId="09515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74F1F"/>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6A155"/>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13D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质量指标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63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高质量完成魅力竞演，并参加省级评选</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F0F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581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C7D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个</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0ED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869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84D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46A15">
            <w:pPr>
              <w:jc w:val="center"/>
              <w:rPr>
                <w:rFonts w:hint="eastAsia" w:ascii="宋体" w:eastAsia="宋体" w:cs="宋体"/>
                <w:i w:val="0"/>
                <w:iCs w:val="0"/>
                <w:color w:val="000000"/>
                <w:sz w:val="20"/>
                <w:szCs w:val="20"/>
                <w:u w:val="none"/>
              </w:rPr>
            </w:pPr>
          </w:p>
        </w:tc>
      </w:tr>
      <w:tr w14:paraId="7BC8B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C04BD"/>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EE8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B17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7E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为群众提供高质量的精神文化产品,提升社会文明程度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96A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96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0115F">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56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369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AE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016A2">
            <w:pPr>
              <w:jc w:val="center"/>
              <w:rPr>
                <w:rFonts w:hint="eastAsia" w:ascii="宋体" w:eastAsia="宋体" w:cs="宋体"/>
                <w:i w:val="0"/>
                <w:iCs w:val="0"/>
                <w:color w:val="000000"/>
                <w:sz w:val="20"/>
                <w:szCs w:val="20"/>
                <w:u w:val="none"/>
              </w:rPr>
            </w:pPr>
          </w:p>
        </w:tc>
      </w:tr>
      <w:tr w14:paraId="32935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1E54B"/>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842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18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D33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群众满意率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9E1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036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B7F86">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5A5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AC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1DC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15CA3">
            <w:pPr>
              <w:jc w:val="center"/>
              <w:rPr>
                <w:rFonts w:hint="eastAsia" w:ascii="宋体" w:eastAsia="宋体" w:cs="宋体"/>
                <w:i w:val="0"/>
                <w:iCs w:val="0"/>
                <w:color w:val="000000"/>
                <w:sz w:val="20"/>
                <w:szCs w:val="20"/>
                <w:u w:val="none"/>
              </w:rPr>
            </w:pPr>
          </w:p>
        </w:tc>
      </w:tr>
      <w:tr w14:paraId="304E7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462D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311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445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0EB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11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0A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B2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FDA1E">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0A9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7EC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CC84E">
            <w:pPr>
              <w:jc w:val="center"/>
              <w:rPr>
                <w:rFonts w:hint="eastAsia" w:ascii="宋体" w:eastAsia="宋体" w:cs="宋体"/>
                <w:i w:val="0"/>
                <w:iCs w:val="0"/>
                <w:color w:val="000000"/>
                <w:sz w:val="20"/>
                <w:szCs w:val="20"/>
                <w:u w:val="none"/>
              </w:rPr>
            </w:pPr>
          </w:p>
        </w:tc>
      </w:tr>
      <w:tr w14:paraId="2EA67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7C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AFB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64968">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6E70F">
            <w:pPr>
              <w:rPr>
                <w:rFonts w:hint="eastAsia" w:ascii="宋体" w:eastAsia="宋体" w:cs="宋体"/>
                <w:i w:val="0"/>
                <w:iCs w:val="0"/>
                <w:color w:val="000000"/>
                <w:sz w:val="20"/>
                <w:szCs w:val="20"/>
                <w:u w:val="none"/>
              </w:rPr>
            </w:pPr>
          </w:p>
        </w:tc>
      </w:tr>
      <w:tr w14:paraId="4891E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8BCD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71F8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2025年，9月19日“四川‘乡’当潮 巴中立潮头”四川省第五届乡村文化振兴魅力竞演大赛（巴中赛区）市级竞演成功举行，南江县杨坝镇脱获一等奖，平昌县板庙镇、平昌县邱家镇获二等奖，南江县集州街道办事处、巴中经开区兴文街道办事处、巴州区宕梁街道办事处获得三等奖，通江县民胜镇、恩阳区登科街道办事处、恩阳区尹家镇、通江县广纳镇、巴中文旅示范区、巴州区东城街道办事处获魅力乡镇奖，充分展示了乡村文化的深厚底蕴和创新活力。11月4日，四川省第五届乡村文化振兴魅力竞演省级决赛暨2025年四川“百城千乡万村（社区）”全民健身之夜在巴中举行，平昌县邱家镇《青芽情》获得“金蜀稻”三等奖。巴中成为全省既举办过全省启动仪式又举办过省级决赛的市州。赛事以舞台为载体，全面唤醒乡村沉淀的文化瑰宝，推动巴文化、川北民歌等一大批本土文化、非遗项目完成创造性转化。通过竞演作品的艺术打磨和广泛传播，让原本小众的乡土文化实现破圈，真正实现 “让乡土文化活起来、火起来”。</w:t>
            </w:r>
          </w:p>
        </w:tc>
      </w:tr>
      <w:tr w14:paraId="73D9B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D13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0A29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0AE68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93C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6888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0D264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742D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项目负责人：付强</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5FD2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4C8AF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D867">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27A93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5C7B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0686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51190026T000014242480-2024年专项外宣合作经费</w:t>
            </w:r>
          </w:p>
        </w:tc>
      </w:tr>
      <w:tr w14:paraId="7394C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E0E2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44A4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226A21A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8B6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6FAC8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6444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8991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A84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B7A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1EE7E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94925"/>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593F"/>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B849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进一步强化与人民日报等中央主流媒体的深度专项合作，进一步拓展与澎湃新闻、南方周末等省外主流新媒体主题宣传渠道，切实完善媒体合作矩阵，提升巴中城市营销质效。</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C856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进一步强化与人民日报等中央主流媒体的深度专项合作，进一步拓展与澎湃新闻、南方周末等省外主流新媒体主题宣传渠道，切实完善媒体合作矩阵，提升巴中城市营销质效。</w:t>
            </w:r>
          </w:p>
        </w:tc>
      </w:tr>
      <w:tr w14:paraId="09346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7EB4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C2D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41F3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对外宣传工作紧扣市委中心工作，先后策划开展了市“两会”、经济工作推进会、市委全会、城乡居民幸福生活八大工程等重大会议活动策划35个，特别是全国新兴媒体巴中行活动，由极目新闻牵头，邀请澎湃新闻、大风新闻、大皖新闻、现代都市报等20余家媒体，共发布活动稿件数量达350多次，其中策划采写原创及深度稿件13篇，制作发布原创视频12个，设计发布海报25幅，在视频号及微博联动发布热点话题#巴中向新振兴提速#用欣赏的眼光看巴中#，全网总阅读量超过3000万。极目新闻联动其他主流媒体和网络大V博主15人以上，发布视频及图文宜传达100多次，据统计，“老区新动能 振兴加速度”一2025 全国新兴主流媒体巴中行活动的全网总阅读量超过5000万。</w:t>
            </w:r>
          </w:p>
        </w:tc>
      </w:tr>
      <w:tr w14:paraId="10AC3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2C3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2CA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E6D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9D4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09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28D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369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997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874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3CAEC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462C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3FD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C48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6FE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104.00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FBA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104.00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093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453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0DC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EA3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3640B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BFACC"/>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E4C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65A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3A2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104.00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DBF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104.00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4B3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844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790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6961"/>
        </w:tc>
      </w:tr>
      <w:tr w14:paraId="57AFA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FC421"/>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F4D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485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57A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FA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D4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28F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89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E6D40"/>
        </w:tc>
      </w:tr>
      <w:tr w14:paraId="10802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E64FF"/>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877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629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1E5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FA7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2AA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601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E1E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BC1F"/>
        </w:tc>
      </w:tr>
      <w:tr w14:paraId="5423E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530E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6EC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350DF">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C221">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82BA">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E91D5">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3D9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CD9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4BF3A"/>
        </w:tc>
      </w:tr>
      <w:tr w14:paraId="7269D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218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664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80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8DF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C60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71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849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AE1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56A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D0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171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339E3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A9D4E"/>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CA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FDE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BC4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合作媒体数量</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A12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DCC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7EF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家</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C4E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BE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301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9D76A">
            <w:pPr>
              <w:jc w:val="center"/>
              <w:rPr>
                <w:rFonts w:hint="eastAsia" w:ascii="宋体" w:eastAsia="宋体" w:cs="宋体"/>
                <w:i w:val="0"/>
                <w:iCs w:val="0"/>
                <w:color w:val="000000"/>
                <w:sz w:val="20"/>
                <w:szCs w:val="20"/>
                <w:u w:val="none"/>
              </w:rPr>
            </w:pPr>
          </w:p>
        </w:tc>
      </w:tr>
      <w:tr w14:paraId="60BBC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2B073"/>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5BB5D"/>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03232"/>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B0E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刊发稿件数量</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3BF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28E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920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140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915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E7E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094FC">
            <w:pPr>
              <w:jc w:val="center"/>
              <w:rPr>
                <w:rFonts w:hint="eastAsia" w:ascii="宋体" w:eastAsia="宋体" w:cs="宋体"/>
                <w:i w:val="0"/>
                <w:iCs w:val="0"/>
                <w:color w:val="000000"/>
                <w:sz w:val="20"/>
                <w:szCs w:val="20"/>
                <w:u w:val="none"/>
              </w:rPr>
            </w:pPr>
          </w:p>
        </w:tc>
      </w:tr>
      <w:tr w14:paraId="2AA15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6EA15"/>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404CA"/>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D56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时效指标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6DA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完成时间</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ED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EB1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981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0E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007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662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A5B0E">
            <w:pPr>
              <w:jc w:val="center"/>
              <w:rPr>
                <w:rFonts w:hint="eastAsia" w:ascii="宋体" w:eastAsia="宋体" w:cs="宋体"/>
                <w:i w:val="0"/>
                <w:iCs w:val="0"/>
                <w:color w:val="000000"/>
                <w:sz w:val="20"/>
                <w:szCs w:val="20"/>
                <w:u w:val="none"/>
              </w:rPr>
            </w:pPr>
          </w:p>
        </w:tc>
      </w:tr>
      <w:tr w14:paraId="1A059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A55C"/>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63B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FEA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806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提升巴中对外宣传形象</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D3E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2EB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A60C3">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92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EDE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44A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7D748">
            <w:pPr>
              <w:jc w:val="center"/>
              <w:rPr>
                <w:rFonts w:hint="eastAsia" w:ascii="宋体" w:eastAsia="宋体" w:cs="宋体"/>
                <w:i w:val="0"/>
                <w:iCs w:val="0"/>
                <w:color w:val="000000"/>
                <w:sz w:val="20"/>
                <w:szCs w:val="20"/>
                <w:u w:val="none"/>
              </w:rPr>
            </w:pPr>
          </w:p>
        </w:tc>
      </w:tr>
      <w:tr w14:paraId="2D8B3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82D2F"/>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E64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B08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DDC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8EA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7CC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02B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979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61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53A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31D1B">
            <w:pPr>
              <w:jc w:val="center"/>
              <w:rPr>
                <w:rFonts w:hint="eastAsia" w:ascii="宋体" w:eastAsia="宋体" w:cs="宋体"/>
                <w:i w:val="0"/>
                <w:iCs w:val="0"/>
                <w:color w:val="000000"/>
                <w:sz w:val="20"/>
                <w:szCs w:val="20"/>
                <w:u w:val="none"/>
              </w:rPr>
            </w:pPr>
          </w:p>
        </w:tc>
      </w:tr>
      <w:tr w14:paraId="7894B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5A7C"/>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AFE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307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45F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宣传经费</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C90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70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104</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7EB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C23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104</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CB6F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7F1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1B3BD">
            <w:pPr>
              <w:jc w:val="center"/>
              <w:rPr>
                <w:rFonts w:hint="eastAsia" w:ascii="宋体" w:eastAsia="宋体" w:cs="宋体"/>
                <w:i w:val="0"/>
                <w:iCs w:val="0"/>
                <w:color w:val="000000"/>
                <w:sz w:val="20"/>
                <w:szCs w:val="20"/>
                <w:u w:val="none"/>
              </w:rPr>
            </w:pPr>
          </w:p>
        </w:tc>
      </w:tr>
      <w:tr w14:paraId="632C3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186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2A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00C12">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12450">
            <w:pPr>
              <w:rPr>
                <w:rFonts w:hint="eastAsia" w:ascii="宋体" w:eastAsia="宋体" w:cs="宋体"/>
                <w:i w:val="0"/>
                <w:iCs w:val="0"/>
                <w:color w:val="000000"/>
                <w:sz w:val="20"/>
                <w:szCs w:val="20"/>
                <w:u w:val="none"/>
              </w:rPr>
            </w:pPr>
          </w:p>
        </w:tc>
      </w:tr>
      <w:tr w14:paraId="07BE1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EBE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8760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不断深化与中央主流媒体的合作，进一步拓展与澎湃新闻、极目新闻、南方周末、红星新闻的合作，2025年，合作的新兴媒体发稿500余条（篇），巴中的知名度和美誉度不断提升，真正实现了“扬正控负”的良好舆论环境。</w:t>
            </w:r>
          </w:p>
        </w:tc>
      </w:tr>
      <w:tr w14:paraId="0E1FB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17B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1507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16FBC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46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BE36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20587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BE9A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项目负责人：唐强</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175A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4B3AA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8FEA9">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72B51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FF2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91F9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51190025T000013992760-第十二届巴人文化艺术节宣传策划活动经费</w:t>
            </w:r>
          </w:p>
        </w:tc>
      </w:tr>
      <w:tr w14:paraId="6D5E0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BC1F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4322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6C27DF0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70C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5D52D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612B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E1A4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10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427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3BEB8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A6D5C"/>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9B1C9"/>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22AA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邀请中央、省级媒体赴巴中对巴人文化艺术节及巴中社会经济发展进行宣传报道，进一步提升巴中的知名度和影响力。</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5F51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邀请人民网、新华社、中新社、中国网、四川日报、四川广播电视台等中省媒体赴巴中就第十二届巴人文化艺术节及巴中经济社会发展进行深度宣传报道，进一步提升了巴中的知名度和美誉度。</w:t>
            </w:r>
          </w:p>
        </w:tc>
      </w:tr>
      <w:tr w14:paraId="0F614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43B3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2458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C1AF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邀请中省主流媒体，围绕第十二届巴人文化艺术节展开策划，涵盖展示《晏阳初》首演、“天下米仓 四龛福城”、大型摄影美术书法展等多个宣传策划主题，并在海内外各大平台传播。不断提升巴文化的影响力。截至2025年9月底，我方已全部执行完成协议要求的全部内容，全平台推送巴文化相关作品共300余条，累计覆盖人群超6000+万人次，全网累计阅读量破6800+万人次，形成广泛传播声势。</w:t>
            </w:r>
          </w:p>
        </w:tc>
      </w:tr>
      <w:tr w14:paraId="1D3A6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C8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3F8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CE1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2B3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B97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2BB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AD3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FAE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EB3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81B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A2E33"/>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288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221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23A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4.30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1D2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4.30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6C5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06B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D64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7302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3F849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85AF3"/>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15C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74D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3E3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4.30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96D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4.30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62B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FBE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F13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81F87"/>
        </w:tc>
      </w:tr>
      <w:tr w14:paraId="19AF0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D5719"/>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4A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AD3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D4C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D5C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11D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AAC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B0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A79F3"/>
        </w:tc>
      </w:tr>
      <w:tr w14:paraId="18AD2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7468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C3A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D16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C45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6E3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0BB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57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CD8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2E944"/>
        </w:tc>
      </w:tr>
      <w:tr w14:paraId="527FE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18B7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72B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4A7F">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044A6">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EE261">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40C43">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668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39B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E3172"/>
        </w:tc>
      </w:tr>
      <w:tr w14:paraId="5DBE5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412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D2C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535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15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DF1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735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857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129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6FC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84A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46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7E2B5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065F"/>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F8E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8DE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ED4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邀请媒体数量</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166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D3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544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家</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464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6B6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F54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A500A">
            <w:pPr>
              <w:jc w:val="center"/>
              <w:rPr>
                <w:rFonts w:hint="eastAsia" w:ascii="宋体" w:eastAsia="宋体" w:cs="宋体"/>
                <w:i w:val="0"/>
                <w:iCs w:val="0"/>
                <w:color w:val="000000"/>
                <w:sz w:val="20"/>
                <w:szCs w:val="20"/>
                <w:u w:val="none"/>
              </w:rPr>
            </w:pPr>
          </w:p>
        </w:tc>
      </w:tr>
      <w:tr w14:paraId="31FAA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7D0A1"/>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73FC"/>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CABF"/>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64E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宣传报道发稿量</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547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2AE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CEE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E8F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BB4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509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F0016">
            <w:pPr>
              <w:jc w:val="center"/>
              <w:rPr>
                <w:rFonts w:hint="eastAsia" w:ascii="宋体" w:eastAsia="宋体" w:cs="宋体"/>
                <w:i w:val="0"/>
                <w:iCs w:val="0"/>
                <w:color w:val="000000"/>
                <w:sz w:val="20"/>
                <w:szCs w:val="20"/>
                <w:u w:val="none"/>
              </w:rPr>
            </w:pPr>
          </w:p>
        </w:tc>
      </w:tr>
      <w:tr w14:paraId="0598D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E3FC"/>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2B983"/>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C3D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时效指标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3D6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完成时限</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CD3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700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5A8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月</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28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按时完成</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BA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B13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B64BE">
            <w:pPr>
              <w:jc w:val="center"/>
              <w:rPr>
                <w:rFonts w:hint="eastAsia" w:ascii="宋体" w:eastAsia="宋体" w:cs="宋体"/>
                <w:i w:val="0"/>
                <w:iCs w:val="0"/>
                <w:color w:val="000000"/>
                <w:sz w:val="20"/>
                <w:szCs w:val="20"/>
                <w:u w:val="none"/>
              </w:rPr>
            </w:pPr>
          </w:p>
        </w:tc>
      </w:tr>
      <w:tr w14:paraId="1BF09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776F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36E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BF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28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提升巴中知名度和影响力</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7AD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03B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AD1D8">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B6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504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D26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6017E">
            <w:pPr>
              <w:jc w:val="center"/>
              <w:rPr>
                <w:rFonts w:hint="eastAsia" w:ascii="宋体" w:eastAsia="宋体" w:cs="宋体"/>
                <w:i w:val="0"/>
                <w:iCs w:val="0"/>
                <w:color w:val="000000"/>
                <w:sz w:val="20"/>
                <w:szCs w:val="20"/>
                <w:u w:val="none"/>
              </w:rPr>
            </w:pPr>
          </w:p>
        </w:tc>
      </w:tr>
      <w:tr w14:paraId="2510D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A5D12"/>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D3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29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2A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群众满意度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FA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9C9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F21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0E2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D29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ED0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34528">
            <w:pPr>
              <w:jc w:val="center"/>
              <w:rPr>
                <w:rFonts w:hint="eastAsia" w:ascii="宋体" w:eastAsia="宋体" w:cs="宋体"/>
                <w:i w:val="0"/>
                <w:iCs w:val="0"/>
                <w:color w:val="000000"/>
                <w:sz w:val="20"/>
                <w:szCs w:val="20"/>
                <w:u w:val="none"/>
              </w:rPr>
            </w:pPr>
          </w:p>
        </w:tc>
      </w:tr>
      <w:tr w14:paraId="31AB5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65B3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50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B0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102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资金成本</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D37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9D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43000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4B8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B34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43000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A4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2B2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95A48">
            <w:pPr>
              <w:jc w:val="center"/>
              <w:rPr>
                <w:rFonts w:hint="eastAsia" w:ascii="宋体" w:eastAsia="宋体" w:cs="宋体"/>
                <w:i w:val="0"/>
                <w:iCs w:val="0"/>
                <w:color w:val="000000"/>
                <w:sz w:val="20"/>
                <w:szCs w:val="20"/>
                <w:u w:val="none"/>
              </w:rPr>
            </w:pPr>
          </w:p>
        </w:tc>
      </w:tr>
      <w:tr w14:paraId="4E9BF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937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E8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87E5D">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65D95">
            <w:pPr>
              <w:rPr>
                <w:rFonts w:hint="eastAsia" w:ascii="宋体" w:eastAsia="宋体" w:cs="宋体"/>
                <w:i w:val="0"/>
                <w:iCs w:val="0"/>
                <w:color w:val="000000"/>
                <w:sz w:val="20"/>
                <w:szCs w:val="20"/>
                <w:u w:val="none"/>
              </w:rPr>
            </w:pPr>
          </w:p>
        </w:tc>
      </w:tr>
      <w:tr w14:paraId="59386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FBA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8952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整合资源、集成能力，精准策划、多元联动，坚持“保证效果、节俭高效”原则，高质量完成了第十二届巴人文化艺术节宣传工作。中央、省级、市级媒体发布艺术节稿件300余篇（条），全网浏览量突破5000万。借助巴人文化艺术节，实施招商引资、推进对外开放合作的成效；宣传第十二届巴人文化艺术节的主要活动动态及成效和巴中文旅发展的举措及成效。</w:t>
            </w:r>
          </w:p>
        </w:tc>
      </w:tr>
      <w:tr w14:paraId="72AD6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8FE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B4A5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5CD63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7B0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C405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778FA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06F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项目负责人：唐强</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FE2F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6B000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511B3">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3A62E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FE98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72BA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51190024T000011960306-公开征集巴中城市营销方案工作经费</w:t>
            </w:r>
          </w:p>
        </w:tc>
      </w:tr>
      <w:tr w14:paraId="1B5DB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63DB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F79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30A6FEF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E45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3F99F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110C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6F1C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272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F6C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5B294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DC3CE"/>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0BDB5"/>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B6DB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为全面提升城市知名度和美誉度，助推巴中高质量发展，拟向全社会广泛征集巴中城市营销方案（包括但不限于以下方面内容：1. 巴中城市营销的主要内容。聚焦巴中城市营销什么，深度梳理巴中历史文化、地方风物等，根据资源优势和发展重点，提炼出巴中城市品牌建设内容体系，并为巴中量身打造城市IP，形成1句推介金句，配系列IP 应用符号。城市IP要体现专家创意与大众互动，具有明确的目标群体，具有互联网基因，自带流量，对吸引人群、树好形象导向明确。2. 巴中城市营销的方法路径。聚焦巴中城市怎么营销，遵循品牌建设原理，从城市整体营销系统思谋，为巴中城市品牌建设拟定具体方法路径。路径要适合巴中经济、社会、文化等各）</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086D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2024年6月，我部启动了巴中城市营销方案征集活动，共收到符合条件方案551个，城市形象宣传语8383句。组织专家对方案进行了评审，分别评选出优秀方案20个，入围方案5个，中选方案1个。</w:t>
            </w:r>
          </w:p>
        </w:tc>
      </w:tr>
      <w:tr w14:paraId="60535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F51F3"/>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8104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360A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2024年6月，市委外宣办启动了巴中城市营销方案征集活动，共收到符合条件方案551个，城市形象宣传语8383句。通过三轮组织本地及国内知名专家对征集到的巴中城市营销方案精心了评选，分别评选出优秀方案20个，入围方案5个，中选方案1个。</w:t>
            </w:r>
          </w:p>
        </w:tc>
      </w:tr>
      <w:tr w14:paraId="0D7DF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55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E2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1E3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A80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360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B86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516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735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6F5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645A7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7D7C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C66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F6B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BB8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33.95</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C38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33.95</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A9E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97F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E36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616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157F9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9FC82"/>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FA7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24B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DCC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33.95</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B23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33.95</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29E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2AB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2E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A63F9"/>
        </w:tc>
      </w:tr>
      <w:tr w14:paraId="5407E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A7B2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5C6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231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782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C76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0D8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48A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8B4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BC886"/>
        </w:tc>
      </w:tr>
      <w:tr w14:paraId="43F9D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20FAA"/>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AE7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B11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120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B6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38B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D43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955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4E24"/>
        </w:tc>
      </w:tr>
      <w:tr w14:paraId="1E763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6B4B2"/>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C2B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6D5B6">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93B69">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7C15">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09DC0">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30E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A40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E3B2"/>
        </w:tc>
      </w:tr>
      <w:tr w14:paraId="39FDB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327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C5E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2DE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439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0A6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C8F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EC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09F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00B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C21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E9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69EA4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B85D7"/>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53F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3E5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8E8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向海内外公开征集营销方案</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ED7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5B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735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个</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CF6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551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26E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1F3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2314">
            <w:pPr>
              <w:jc w:val="center"/>
              <w:rPr>
                <w:rFonts w:hint="eastAsia" w:ascii="宋体" w:eastAsia="宋体" w:cs="宋体"/>
                <w:i w:val="0"/>
                <w:iCs w:val="0"/>
                <w:color w:val="000000"/>
                <w:sz w:val="20"/>
                <w:szCs w:val="20"/>
                <w:u w:val="none"/>
              </w:rPr>
            </w:pPr>
          </w:p>
        </w:tc>
      </w:tr>
      <w:tr w14:paraId="06876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726DA"/>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CC080"/>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17DD4"/>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9B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国内头部专家和本土专家专业评审</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BA7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64C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64F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8B2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695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8F9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5107">
            <w:pPr>
              <w:jc w:val="center"/>
              <w:rPr>
                <w:rFonts w:hint="eastAsia" w:ascii="宋体" w:eastAsia="宋体" w:cs="宋体"/>
                <w:i w:val="0"/>
                <w:iCs w:val="0"/>
                <w:color w:val="000000"/>
                <w:sz w:val="20"/>
                <w:szCs w:val="20"/>
                <w:u w:val="none"/>
              </w:rPr>
            </w:pPr>
          </w:p>
        </w:tc>
      </w:tr>
      <w:tr w14:paraId="506AA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57F0"/>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70A6C"/>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88E4"/>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DDD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公开选取征集活动执行机构</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268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DFE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7AE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家</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E4E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591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925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6D7DB">
            <w:pPr>
              <w:jc w:val="center"/>
              <w:rPr>
                <w:rFonts w:hint="eastAsia" w:ascii="宋体" w:eastAsia="宋体" w:cs="宋体"/>
                <w:i w:val="0"/>
                <w:iCs w:val="0"/>
                <w:color w:val="000000"/>
                <w:sz w:val="20"/>
                <w:szCs w:val="20"/>
                <w:u w:val="none"/>
              </w:rPr>
            </w:pPr>
          </w:p>
        </w:tc>
      </w:tr>
      <w:tr w14:paraId="6E318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16D5"/>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C9587"/>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ADA51"/>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31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签订知识产权转让合同（含 营销指导服务）</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758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F3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97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家</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EB8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542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D40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982D1">
            <w:pPr>
              <w:jc w:val="center"/>
              <w:rPr>
                <w:rFonts w:hint="eastAsia" w:ascii="宋体" w:eastAsia="宋体" w:cs="宋体"/>
                <w:i w:val="0"/>
                <w:iCs w:val="0"/>
                <w:color w:val="000000"/>
                <w:sz w:val="20"/>
                <w:szCs w:val="20"/>
                <w:u w:val="none"/>
              </w:rPr>
            </w:pPr>
          </w:p>
        </w:tc>
      </w:tr>
      <w:tr w14:paraId="75952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8EE99"/>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CCF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F62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19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提升城市知名度和美誉度，助推巴中高质量发展</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68B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8A2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A811">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0D3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64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0ED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D652">
            <w:pPr>
              <w:jc w:val="center"/>
              <w:rPr>
                <w:rFonts w:hint="eastAsia" w:ascii="宋体" w:eastAsia="宋体" w:cs="宋体"/>
                <w:i w:val="0"/>
                <w:iCs w:val="0"/>
                <w:color w:val="000000"/>
                <w:sz w:val="20"/>
                <w:szCs w:val="20"/>
                <w:u w:val="none"/>
              </w:rPr>
            </w:pPr>
          </w:p>
        </w:tc>
      </w:tr>
      <w:tr w14:paraId="1D722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E3C3"/>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5CE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531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5F4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226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D9B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FF1A">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57B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185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171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AED9A">
            <w:pPr>
              <w:jc w:val="center"/>
              <w:rPr>
                <w:rFonts w:hint="eastAsia" w:ascii="宋体" w:eastAsia="宋体" w:cs="宋体"/>
                <w:i w:val="0"/>
                <w:iCs w:val="0"/>
                <w:color w:val="000000"/>
                <w:sz w:val="20"/>
                <w:szCs w:val="20"/>
                <w:u w:val="none"/>
              </w:rPr>
            </w:pPr>
          </w:p>
        </w:tc>
      </w:tr>
      <w:tr w14:paraId="45CDF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36F0"/>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B8D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6B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9FC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78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F52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287.55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1D6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5F1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33.95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0C1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383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7377B">
            <w:pPr>
              <w:jc w:val="center"/>
              <w:rPr>
                <w:rFonts w:hint="eastAsia" w:ascii="宋体" w:eastAsia="宋体" w:cs="宋体"/>
                <w:i w:val="0"/>
                <w:iCs w:val="0"/>
                <w:color w:val="000000"/>
                <w:sz w:val="20"/>
                <w:szCs w:val="20"/>
                <w:u w:val="none"/>
              </w:rPr>
            </w:pPr>
          </w:p>
        </w:tc>
      </w:tr>
      <w:tr w14:paraId="4E6FF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C4F6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E3A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DAE3">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3E48B">
            <w:pPr>
              <w:rPr>
                <w:rFonts w:hint="eastAsia" w:ascii="宋体" w:eastAsia="宋体" w:cs="宋体"/>
                <w:i w:val="0"/>
                <w:iCs w:val="0"/>
                <w:color w:val="000000"/>
                <w:sz w:val="20"/>
                <w:szCs w:val="20"/>
                <w:u w:val="none"/>
              </w:rPr>
            </w:pPr>
          </w:p>
        </w:tc>
      </w:tr>
      <w:tr w14:paraId="7FFA1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58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E6B6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城市营销方案公开征集活动开展以来，共收到合格方案551个，金句8383句。（投稿单位或个人共 1033，省外占比94%）。对外既宣传推介了巴中，提升了巴中的知名度和美誉度，又征得了较为满意的方案。</w:t>
            </w:r>
          </w:p>
        </w:tc>
      </w:tr>
      <w:tr w14:paraId="27F7C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E64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E4AF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50593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FA0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AD13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58A20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117E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项目负责人：唐强</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7D50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52985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E90A9">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6FE34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C182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0CAF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51190024T000012023027-高铁列车文旅广告宣传经费</w:t>
            </w:r>
          </w:p>
        </w:tc>
      </w:tr>
      <w:tr w14:paraId="25483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279A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009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06F276C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0F8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2FABA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A8BA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D62A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352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6B4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49D54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076B"/>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732E2"/>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13EA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为提升“诗意山水红色巴中”的知名度和美誉度，拟于2024年6月至2025年6月在巴中-成都、巴中-重庆高铁列车上通过车身贴+车厢内部广告+列车视频等9种形式投放文旅宣传广告</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FBB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2024年6月至2025年6月在巴中-成都、巴中-重庆高铁列车上通过车身贴+车厢内部广告+列车视频等9种形式投放文旅宣传广告</w:t>
            </w:r>
          </w:p>
        </w:tc>
      </w:tr>
      <w:tr w14:paraId="157F5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FDEAC"/>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2FAA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583A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在成都—巴中、重庆—巴中、广州—北京—成都、上海—广州—成都重点线路的列车车厢内外投放文旅宣传广告；在成都东站、重庆北站、巴中东站、巴中西站重要高铁站站房投放文旅宣传广告；在汉中、南充高铁沿线城市的社区、商圈、城市地标投放文旅宣传广告,对外展示了巴中形象，提升知名度，避暑季、红叶节等时间节点巴中游客明显增长。</w:t>
            </w:r>
          </w:p>
        </w:tc>
      </w:tr>
      <w:tr w14:paraId="18D83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0B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3E5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AC5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EFC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030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F40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151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9606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AEF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5B99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BE06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268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022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CA7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FCA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110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030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20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F153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0DB3C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82EBC"/>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003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2B9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AC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7D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003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592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3B5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CB657"/>
        </w:tc>
      </w:tr>
      <w:tr w14:paraId="04960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604C8"/>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0E4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91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87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ED3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FC9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BC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9E2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4EF89"/>
        </w:tc>
      </w:tr>
      <w:tr w14:paraId="0E7E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559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DF6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087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BD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9F6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2C9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88C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0D2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571A7"/>
        </w:tc>
      </w:tr>
      <w:tr w14:paraId="6900B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E870C"/>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79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EDB6C">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F702A">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DCE97">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9985">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5BC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E43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FDC45"/>
        </w:tc>
      </w:tr>
      <w:tr w14:paraId="2CED5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8B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3ED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4BB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20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792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54D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D8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714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68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454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906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2C903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4A644"/>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95A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2D1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D4E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广告形式</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9E3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775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54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046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E0B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C43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2B777">
            <w:pPr>
              <w:jc w:val="center"/>
              <w:rPr>
                <w:rFonts w:hint="eastAsia" w:ascii="宋体" w:eastAsia="宋体" w:cs="宋体"/>
                <w:i w:val="0"/>
                <w:iCs w:val="0"/>
                <w:color w:val="000000"/>
                <w:sz w:val="20"/>
                <w:szCs w:val="20"/>
                <w:u w:val="none"/>
              </w:rPr>
            </w:pPr>
          </w:p>
        </w:tc>
      </w:tr>
      <w:tr w14:paraId="5AE46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D950F"/>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8B2F0"/>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09CD"/>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E3A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投放时间</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CA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B23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405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E10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B3E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863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9F75F">
            <w:pPr>
              <w:jc w:val="center"/>
              <w:rPr>
                <w:rFonts w:hint="eastAsia" w:ascii="宋体" w:eastAsia="宋体" w:cs="宋体"/>
                <w:i w:val="0"/>
                <w:iCs w:val="0"/>
                <w:color w:val="000000"/>
                <w:sz w:val="20"/>
                <w:szCs w:val="20"/>
                <w:u w:val="none"/>
              </w:rPr>
            </w:pPr>
          </w:p>
        </w:tc>
      </w:tr>
      <w:tr w14:paraId="47F4E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DDA0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168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393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4A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提升“诗意山水红色巴中”的知名度和美誉度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6A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D98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22975">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13C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E7F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D4D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51516">
            <w:pPr>
              <w:jc w:val="center"/>
              <w:rPr>
                <w:rFonts w:hint="eastAsia" w:ascii="宋体" w:eastAsia="宋体" w:cs="宋体"/>
                <w:i w:val="0"/>
                <w:iCs w:val="0"/>
                <w:color w:val="000000"/>
                <w:sz w:val="20"/>
                <w:szCs w:val="20"/>
                <w:u w:val="none"/>
              </w:rPr>
            </w:pPr>
          </w:p>
        </w:tc>
      </w:tr>
      <w:tr w14:paraId="12AAB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AFC3A"/>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81A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9BC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C2E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市民满意度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6EA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942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318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0F7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E8D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A5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78DD9">
            <w:pPr>
              <w:jc w:val="center"/>
              <w:rPr>
                <w:rFonts w:hint="eastAsia" w:ascii="宋体" w:eastAsia="宋体" w:cs="宋体"/>
                <w:i w:val="0"/>
                <w:iCs w:val="0"/>
                <w:color w:val="000000"/>
                <w:sz w:val="20"/>
                <w:szCs w:val="20"/>
                <w:u w:val="none"/>
              </w:rPr>
            </w:pPr>
          </w:p>
        </w:tc>
      </w:tr>
      <w:tr w14:paraId="15FCE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B1B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86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010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CAA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B9B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58A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2440000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35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1B7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E60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4B3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86C1B">
            <w:pPr>
              <w:jc w:val="center"/>
              <w:rPr>
                <w:rFonts w:hint="eastAsia" w:ascii="宋体" w:eastAsia="宋体" w:cs="宋体"/>
                <w:i w:val="0"/>
                <w:iCs w:val="0"/>
                <w:color w:val="000000"/>
                <w:sz w:val="20"/>
                <w:szCs w:val="20"/>
                <w:u w:val="none"/>
              </w:rPr>
            </w:pPr>
          </w:p>
        </w:tc>
      </w:tr>
      <w:tr w14:paraId="08BCB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811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5D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1C88B">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F8EF">
            <w:pPr>
              <w:rPr>
                <w:rFonts w:hint="eastAsia" w:ascii="宋体" w:eastAsia="宋体" w:cs="宋体"/>
                <w:i w:val="0"/>
                <w:iCs w:val="0"/>
                <w:color w:val="000000"/>
                <w:sz w:val="20"/>
                <w:szCs w:val="20"/>
                <w:u w:val="none"/>
              </w:rPr>
            </w:pPr>
          </w:p>
        </w:tc>
      </w:tr>
      <w:tr w14:paraId="5ACA2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A29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EE6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 xml:space="preserve">在巴中-成都、巴中-重庆等高铁列车上通过车身贴+车厢内部广告+列车视频等9种形式投放文旅宣传广告，对外展示了巴中的影响，提高了巴中的知名度和美誉度，五一、国庆、光雾山红叶节等节庆活动期间前来巴中观光旅游的客人直线上升。   </w:t>
            </w:r>
          </w:p>
        </w:tc>
      </w:tr>
      <w:tr w14:paraId="5C8E8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21C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09B5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78F4D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80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90B8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38E00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C7F2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项目负责人：唐强</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3BE1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44E4C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7F8E">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039B4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3A01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8B6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51190025T000013903689-外宣策划及合作经费</w:t>
            </w:r>
          </w:p>
        </w:tc>
      </w:tr>
      <w:tr w14:paraId="70A31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27F2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A909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08CBA67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14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029A0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6D2E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F3CA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2FA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A86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7B4FE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2248E"/>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37B70"/>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5CBC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与人民日报、新华社、四川电视台、重庆日报等中央、省内外主流媒体年度合作、专项合作、活动组织等，持续宣传巴中“一市四区三地”建设成效，持续提升巴中对外知名度和影响力；助力巴中对外开放、招商引资，助力巴中高质量发展；展示巴中优良生态资源、旅游资源、文化资源，展示巴中生态本底和生态农业产品，展示巴中绿水青山就是金山银山的发展成果</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4F36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与人民日报、新华社、四川电视台、重庆日报等中央、省内外主流媒体年度合作、专项合作、活动组织等，持续宣传巴中“一市四区三地”建设成效，持续提升巴中对外知名度和影响力；助力巴中对外开放、招商引资，助力巴中高质量发展；展示巴中优良生态资源、旅游资源、文化资源，展示巴中生态本底和生态农业产品，展示巴中绿水青山就是金山银山的发展成果</w:t>
            </w:r>
          </w:p>
        </w:tc>
      </w:tr>
      <w:tr w14:paraId="017C7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B88B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217C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776D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对外宣传工作紧扣市委中心工作，先后策划开展了市“两会”、经济工作推进会、市委全会、第十二届巴人文化艺术节、中华龙舟赛等重大会议活动策划35个，持续围绕“打造企业容易做生意的地方”、城乡居民幸福生活八大工程、“诗意山水 红色巴中”等主题，邀请中省主流媒体、全国经济媒体、新兴媒体赴巴中开展深度采访报道，不断提升巴中的知名度和美誉度。特别是成功承办第十届全国党媒网站论坛暨总编辑看巴中活动，汇聚全国近100家主流媒体负责人和知名专家学者等200余位嘉宾。《人民日报》要闻版及整版深度报道活动，相关话题全网浏览量超过2亿。</w:t>
            </w:r>
          </w:p>
        </w:tc>
      </w:tr>
      <w:tr w14:paraId="15743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907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DF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020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07F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383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E45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905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976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DD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5995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8A40B"/>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F3A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B7B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9EE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149.56</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287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149.56</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DB5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768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4E5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54F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37FCA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029E9"/>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53A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9C4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F18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149.56</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E4C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149.56</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8D3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50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003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7AAAE"/>
        </w:tc>
      </w:tr>
      <w:tr w14:paraId="3841C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5543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FA1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455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506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DB3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C73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123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875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9CEE0"/>
        </w:tc>
      </w:tr>
      <w:tr w14:paraId="287D9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FBB5A"/>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424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0D6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601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2A8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EFE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A97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C2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EC35"/>
        </w:tc>
      </w:tr>
      <w:tr w14:paraId="6EFD3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7DAE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652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B95EB">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F358">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02E95">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3A498">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91D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584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9BA53"/>
        </w:tc>
      </w:tr>
      <w:tr w14:paraId="11F61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C13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F2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11C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30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4E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B0D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206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13A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135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130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1B9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24C6A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65F5B"/>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B3E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430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03A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与中央、省级媒体专项合作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B8E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8F3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02A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家</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A2A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B8C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0F7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6E1FD">
            <w:pPr>
              <w:jc w:val="center"/>
              <w:rPr>
                <w:rFonts w:hint="eastAsia" w:ascii="宋体" w:eastAsia="宋体" w:cs="宋体"/>
                <w:i w:val="0"/>
                <w:iCs w:val="0"/>
                <w:color w:val="000000"/>
                <w:sz w:val="20"/>
                <w:szCs w:val="20"/>
                <w:u w:val="none"/>
              </w:rPr>
            </w:pPr>
          </w:p>
        </w:tc>
      </w:tr>
      <w:tr w14:paraId="0CA09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30BFB"/>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74B03"/>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AA4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质量指标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B4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推出深度原创 作品</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7F5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74C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ECE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7AB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931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CA6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D4581">
            <w:pPr>
              <w:jc w:val="center"/>
              <w:rPr>
                <w:rFonts w:hint="eastAsia" w:ascii="宋体" w:eastAsia="宋体" w:cs="宋体"/>
                <w:i w:val="0"/>
                <w:iCs w:val="0"/>
                <w:color w:val="000000"/>
                <w:sz w:val="20"/>
                <w:szCs w:val="20"/>
                <w:u w:val="none"/>
              </w:rPr>
            </w:pPr>
          </w:p>
        </w:tc>
      </w:tr>
      <w:tr w14:paraId="46E25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CDA9"/>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B8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C1A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2FB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社会评价及知名度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383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984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2F01">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66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FB6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785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91E39">
            <w:pPr>
              <w:jc w:val="center"/>
              <w:rPr>
                <w:rFonts w:hint="eastAsia" w:ascii="宋体" w:eastAsia="宋体" w:cs="宋体"/>
                <w:i w:val="0"/>
                <w:iCs w:val="0"/>
                <w:color w:val="000000"/>
                <w:sz w:val="20"/>
                <w:szCs w:val="20"/>
                <w:u w:val="none"/>
              </w:rPr>
            </w:pPr>
          </w:p>
        </w:tc>
      </w:tr>
      <w:tr w14:paraId="43305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AD997"/>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5DC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5AB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631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F22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ECC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21800">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D52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611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97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61D04">
            <w:pPr>
              <w:jc w:val="center"/>
              <w:rPr>
                <w:rFonts w:hint="eastAsia" w:ascii="宋体" w:eastAsia="宋体" w:cs="宋体"/>
                <w:i w:val="0"/>
                <w:iCs w:val="0"/>
                <w:color w:val="000000"/>
                <w:sz w:val="20"/>
                <w:szCs w:val="20"/>
                <w:u w:val="none"/>
              </w:rPr>
            </w:pPr>
          </w:p>
        </w:tc>
      </w:tr>
      <w:tr w14:paraId="104D5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EB63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02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64A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C2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A8A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DE6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280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7AD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CA7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149.56</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96D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B75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9A3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跨年度合作</w:t>
            </w:r>
          </w:p>
        </w:tc>
      </w:tr>
      <w:tr w14:paraId="21FD4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02C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E19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AE02">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38C2A">
            <w:pPr>
              <w:rPr>
                <w:rFonts w:hint="eastAsia" w:ascii="宋体" w:eastAsia="宋体" w:cs="宋体"/>
                <w:i w:val="0"/>
                <w:iCs w:val="0"/>
                <w:color w:val="000000"/>
                <w:sz w:val="20"/>
                <w:szCs w:val="20"/>
                <w:u w:val="none"/>
              </w:rPr>
            </w:pPr>
          </w:p>
        </w:tc>
      </w:tr>
      <w:tr w14:paraId="56734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12F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8C3A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宣传推介巴中，主动对接各类媒体，差别喂料、分众服务，专人配合人民日报、新华社、央视拍摄图片、视频，组织活动配合网络直播，扩大了中央、省、市级主流媒体宣传中的老区声量。全市在中央、省级主流媒体刊发稿件7524篇（条）。其中，人民日报用稿62条（含人民日报客户端）；新华社用稿32条（含新华社客户端）；人民网用稿261条，新华网用稿37条；央视用稿182条，其中《新闻联播》13条；四川日报用稿145条；四川电视台用稿678条，其中《四川新闻联播》107条。进一步提升了巴中的知名度和美誉度。</w:t>
            </w:r>
          </w:p>
        </w:tc>
      </w:tr>
      <w:tr w14:paraId="3FFF9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B4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108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14CB0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19C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4A24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4F651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9B8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项目负责人：唐强</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F547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0F21B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95B86">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6D982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0833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A647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51190025T000013170691-2025年年初部门预算特定目标类项目203001市委宣传部巴文化研究院经费</w:t>
            </w:r>
          </w:p>
        </w:tc>
      </w:tr>
      <w:tr w14:paraId="3F7FB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03AF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E28C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1BFF1E2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E88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0B5FE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D98D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23E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6EC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A6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13C85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5C32"/>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E8825"/>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461F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推动巴文化研究常态开展，完成课题研究任务，不断提高巴文化影响力，大力弘扬传统文化</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FDBF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结项重点课题25个，立项重点课题95个。“巴文化研究”微信公众号，关注人数超7500。正儿巴经系列短视频全网播放量超2000万，扩大了巴文化传播度。</w:t>
            </w:r>
          </w:p>
        </w:tc>
      </w:tr>
      <w:tr w14:paraId="57793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5D289"/>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38BC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D552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2024年巴文化研究院发布巴文化研究重点课题指南，收到课题申报102个，同比增长183%，经专家评审，立项95个，结项25个，资助课题经费5.9万元，课题数量和质量较2024年显著提升。用新媒体语言传播巴文化，拍摄巴文化IP“正儿巴经”系列短视频3全网播放量超1000万。</w:t>
            </w:r>
          </w:p>
        </w:tc>
      </w:tr>
      <w:tr w14:paraId="7A0B0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783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90D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FDD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D68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BC8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499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8C3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48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4D7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3D4A5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16D81"/>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492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26B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886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21.42</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BCD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21.42</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B82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24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649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8C81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13405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F13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0D7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09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967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21.42</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A91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21.42</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CDC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9B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CE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7044"/>
        </w:tc>
      </w:tr>
      <w:tr w14:paraId="33154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3C77A"/>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37E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324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582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813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430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F1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FE0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D6140"/>
        </w:tc>
      </w:tr>
      <w:tr w14:paraId="41F1E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C39CD"/>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F6A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B6C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13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CC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10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3AB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B7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1DA70"/>
        </w:tc>
      </w:tr>
      <w:tr w14:paraId="12A77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0FFC1"/>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38E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535B">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0E7B">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3025E">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722E">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6BD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897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53DD"/>
        </w:tc>
      </w:tr>
      <w:tr w14:paraId="1C085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5F4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D8F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BC6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E73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565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F24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17F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D7F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45B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2AE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32E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3DEB6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79E9"/>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F4D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36C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90C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“巴文化研究”微信公众号</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724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CF8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31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个</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3D6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98</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5D9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203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2A1D">
            <w:pPr>
              <w:jc w:val="center"/>
              <w:rPr>
                <w:rFonts w:hint="eastAsia" w:ascii="宋体" w:eastAsia="宋体" w:cs="宋体"/>
                <w:i w:val="0"/>
                <w:iCs w:val="0"/>
                <w:color w:val="000000"/>
                <w:sz w:val="20"/>
                <w:szCs w:val="20"/>
                <w:u w:val="none"/>
              </w:rPr>
            </w:pPr>
          </w:p>
        </w:tc>
      </w:tr>
      <w:tr w14:paraId="7050D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3C472"/>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793DF"/>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49B25"/>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9B1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出版《巴中·巴文化简史》</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32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AA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1F7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A21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A17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76B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D089C">
            <w:pPr>
              <w:jc w:val="center"/>
              <w:rPr>
                <w:rFonts w:hint="eastAsia" w:ascii="宋体" w:eastAsia="宋体" w:cs="宋体"/>
                <w:i w:val="0"/>
                <w:iCs w:val="0"/>
                <w:color w:val="000000"/>
                <w:sz w:val="20"/>
                <w:szCs w:val="20"/>
                <w:u w:val="none"/>
              </w:rPr>
            </w:pPr>
          </w:p>
        </w:tc>
      </w:tr>
      <w:tr w14:paraId="3FAB1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02FEB"/>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5ABB"/>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5E8C"/>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A39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“问语巴文化”学习论坛</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E7C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292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6D5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期</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903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AA5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1C5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CCC2">
            <w:pPr>
              <w:jc w:val="center"/>
              <w:rPr>
                <w:rFonts w:hint="eastAsia" w:ascii="宋体" w:eastAsia="宋体" w:cs="宋体"/>
                <w:i w:val="0"/>
                <w:iCs w:val="0"/>
                <w:color w:val="000000"/>
                <w:sz w:val="20"/>
                <w:szCs w:val="20"/>
                <w:u w:val="none"/>
              </w:rPr>
            </w:pPr>
          </w:p>
        </w:tc>
      </w:tr>
      <w:tr w14:paraId="521AD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2E12"/>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A10EE"/>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DADF"/>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8D0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巴文化研究课题</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90D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3C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FE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个</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0E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43E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759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6B33E">
            <w:pPr>
              <w:jc w:val="center"/>
              <w:rPr>
                <w:rFonts w:hint="eastAsia" w:ascii="宋体" w:eastAsia="宋体" w:cs="宋体"/>
                <w:i w:val="0"/>
                <w:iCs w:val="0"/>
                <w:color w:val="000000"/>
                <w:sz w:val="20"/>
                <w:szCs w:val="20"/>
                <w:u w:val="none"/>
              </w:rPr>
            </w:pPr>
          </w:p>
        </w:tc>
      </w:tr>
      <w:tr w14:paraId="124E2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B6CA8"/>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99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957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128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宣传好巴中历史文化，提炼巴文化符号</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647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465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B3EBA">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643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7BF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75A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7FB55">
            <w:pPr>
              <w:jc w:val="center"/>
              <w:rPr>
                <w:rFonts w:hint="eastAsia" w:ascii="宋体" w:eastAsia="宋体" w:cs="宋体"/>
                <w:i w:val="0"/>
                <w:iCs w:val="0"/>
                <w:color w:val="000000"/>
                <w:sz w:val="20"/>
                <w:szCs w:val="20"/>
                <w:u w:val="none"/>
              </w:rPr>
            </w:pPr>
          </w:p>
        </w:tc>
      </w:tr>
      <w:tr w14:paraId="4AA97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991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9C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0353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731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群众满意度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9D23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CA6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C863">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1C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97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460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72791">
            <w:pPr>
              <w:jc w:val="center"/>
              <w:rPr>
                <w:rFonts w:hint="eastAsia" w:ascii="宋体" w:eastAsia="宋体" w:cs="宋体"/>
                <w:i w:val="0"/>
                <w:iCs w:val="0"/>
                <w:color w:val="000000"/>
                <w:sz w:val="20"/>
                <w:szCs w:val="20"/>
                <w:u w:val="none"/>
              </w:rPr>
            </w:pPr>
          </w:p>
        </w:tc>
      </w:tr>
      <w:tr w14:paraId="08704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2DCE8"/>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D8F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AB8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003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F5C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01A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D46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736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21.42</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B42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538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B942D">
            <w:pPr>
              <w:jc w:val="center"/>
              <w:rPr>
                <w:rFonts w:hint="eastAsia" w:ascii="宋体" w:eastAsia="宋体" w:cs="宋体"/>
                <w:i w:val="0"/>
                <w:iCs w:val="0"/>
                <w:color w:val="000000"/>
                <w:sz w:val="20"/>
                <w:szCs w:val="20"/>
                <w:u w:val="none"/>
              </w:rPr>
            </w:pPr>
          </w:p>
        </w:tc>
      </w:tr>
      <w:tr w14:paraId="132F7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83D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AA1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38F93">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90AB8">
            <w:pPr>
              <w:rPr>
                <w:rFonts w:hint="eastAsia" w:ascii="宋体" w:eastAsia="宋体" w:cs="宋体"/>
                <w:i w:val="0"/>
                <w:iCs w:val="0"/>
                <w:color w:val="000000"/>
                <w:sz w:val="20"/>
                <w:szCs w:val="20"/>
                <w:u w:val="none"/>
              </w:rPr>
            </w:pPr>
          </w:p>
        </w:tc>
      </w:tr>
      <w:tr w14:paraId="0DB2D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568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0860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常态化开展课题研究，首部巴文化通史《巴中</w:t>
            </w:r>
            <w:r>
              <w:rPr>
                <w:rStyle w:val="37"/>
                <w:lang w:val="en-US" w:eastAsia="zh-CN"/>
              </w:rPr>
              <w:t>・</w:t>
            </w:r>
            <w:r>
              <w:rPr>
                <w:rFonts w:hint="eastAsia" w:ascii="宋体" w:eastAsia="宋体" w:cs="宋体"/>
                <w:i w:val="0"/>
                <w:iCs w:val="0"/>
                <w:color w:val="000000"/>
                <w:kern w:val="0"/>
                <w:sz w:val="20"/>
                <w:szCs w:val="20"/>
                <w:u w:val="none"/>
                <w:lang w:val="en-US" w:eastAsia="zh-CN"/>
              </w:rPr>
              <w:t>巴文化简史》，作为市委理论学习中心组参考材料，实现学术成果向决策参考的高效转化。“问语巴文化”系列讲坛。拍摄巴文化IP“正儿巴经”系列短视频3期，全网播放量超1000万，《四龛福城》短视频被多次二创，其中二创视频《千年米仓道 四龛幸福城》在天府广场大屏刊播。“巴文化研究”微信公众号推文98期，内容深受干部群众喜爱。</w:t>
            </w:r>
          </w:p>
        </w:tc>
      </w:tr>
      <w:tr w14:paraId="02296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23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02E4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是课题研究质量有待提升，高水平、原创性强的课题比例仍需提高。二是成果转化机制尚需完善，学术成果向公共服务、文旅深度融合等领域的应用转化路径不够清晰。三是“巴文化专家库”及“巴文化专家联合工作室”核心功能尚未实质性高效运转，资源整合与效能释放不足。四是品牌影响力覆盖广度和渗透深度仍需提升，数字资源整合与利用效率有待加强。</w:t>
            </w:r>
          </w:p>
        </w:tc>
      </w:tr>
      <w:tr w14:paraId="024B0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D45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A09F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聚焦学术提质：发布重点课题指南，围绕“巴文化与数字文旅”等方向产出精品成果；建强专家库与联合工作室，举办论坛调研；深化跨区域合作；在本地高校开设巴文化课程。强化传播：打造“正儿巴经”短视频，优化公众号运营，拓展抖音等平台合作，结合登高节、巴人文化艺术节策划线下活动。促进转化：探索“巴文化+”融合模式，推动石窟、米仓道数字化采集，建立数字资源库与素材库，赋能文创开发，服务地方经济。</w:t>
            </w:r>
          </w:p>
        </w:tc>
      </w:tr>
      <w:tr w14:paraId="520CD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489C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项目负责人：朱敏</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CEB5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3E09E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3DCBE">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73404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2810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45B3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51190025T000013243445-2025年年初部门预算特定目标类项目203001市委宣传部新时代文明实践中心工作经费</w:t>
            </w:r>
          </w:p>
        </w:tc>
      </w:tr>
      <w:tr w14:paraId="1C020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E951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1BB1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0391DB6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41D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34339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A596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263A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4D9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F8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571C3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926ED"/>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B0D71"/>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470A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加强新时代文明实践中心建设，开展新时代文明实践教育活动，夯实基层精神文明建设阵地</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B276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完成新时代文明实践中心建设，开展新时代文明实践教育活动，夯实基层精神文明建设阵地。</w:t>
            </w:r>
          </w:p>
        </w:tc>
      </w:tr>
      <w:tr w14:paraId="777C4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CE2E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68EC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8B93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中央和省市委工作要求，开展学雷锋·文明实践我行动、我在文明实践中心过佳节、我在文明实践中心过寒暑假、文明集市等文明实践活动5场次，召开新时代文明实践中心建设场推进会，开展文明实践理论宣讲活动。</w:t>
            </w:r>
          </w:p>
        </w:tc>
      </w:tr>
      <w:tr w14:paraId="21B10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735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402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086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11F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3E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21E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8D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7D2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FAB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0B7FD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79E0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63D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212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F3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13.31</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07AD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13.31</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820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698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7D0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79A4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DCCD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BE53E"/>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73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6F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D45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13.31</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E91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13.31</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98F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C3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021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75E15"/>
        </w:tc>
      </w:tr>
      <w:tr w14:paraId="54652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B14E0"/>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E36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E82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641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67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481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B0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A0F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BCE61"/>
        </w:tc>
      </w:tr>
      <w:tr w14:paraId="5B7FB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6EF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9EC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248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11A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CC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CB0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2D1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0B9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39196"/>
        </w:tc>
      </w:tr>
      <w:tr w14:paraId="33EE0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F45DD"/>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1C0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441C3">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A5C3">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1B1BB">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F497">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5A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F7E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70B7E"/>
        </w:tc>
      </w:tr>
      <w:tr w14:paraId="12BAF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B5B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4FA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AA5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5C3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1EF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5F7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7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EC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D04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88E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64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707B0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11C8F"/>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8C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23D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792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开展新时代文明实践中心建设现场推进会</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2AC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F29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A2A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957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A56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DD7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D3E1">
            <w:pPr>
              <w:jc w:val="center"/>
              <w:rPr>
                <w:rFonts w:hint="eastAsia" w:ascii="宋体" w:eastAsia="宋体" w:cs="宋体"/>
                <w:i w:val="0"/>
                <w:iCs w:val="0"/>
                <w:color w:val="000000"/>
                <w:sz w:val="20"/>
                <w:szCs w:val="20"/>
                <w:u w:val="none"/>
              </w:rPr>
            </w:pPr>
          </w:p>
        </w:tc>
      </w:tr>
      <w:tr w14:paraId="3DC12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11B2"/>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C0927"/>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D51B5"/>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B16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开展新时代文明实践活动</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96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1D5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F7F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9D1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7A6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38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23127">
            <w:pPr>
              <w:jc w:val="center"/>
              <w:rPr>
                <w:rFonts w:hint="eastAsia" w:ascii="宋体" w:eastAsia="宋体" w:cs="宋体"/>
                <w:i w:val="0"/>
                <w:iCs w:val="0"/>
                <w:color w:val="000000"/>
                <w:sz w:val="20"/>
                <w:szCs w:val="20"/>
                <w:u w:val="none"/>
              </w:rPr>
            </w:pPr>
          </w:p>
        </w:tc>
      </w:tr>
      <w:tr w14:paraId="448B3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3306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B00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E92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04A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夯实基层精神文明建设阵地，丰富人民群众文化生活</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24D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BDA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D1689">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DCC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62A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703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D0090">
            <w:pPr>
              <w:jc w:val="center"/>
              <w:rPr>
                <w:rFonts w:hint="eastAsia" w:ascii="宋体" w:eastAsia="宋体" w:cs="宋体"/>
                <w:i w:val="0"/>
                <w:iCs w:val="0"/>
                <w:color w:val="000000"/>
                <w:sz w:val="20"/>
                <w:szCs w:val="20"/>
                <w:u w:val="none"/>
              </w:rPr>
            </w:pPr>
          </w:p>
        </w:tc>
      </w:tr>
      <w:tr w14:paraId="6FE42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73B0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276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765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1C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39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3DB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83C5E">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6CD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0A0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A9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2F7AB">
            <w:pPr>
              <w:jc w:val="center"/>
              <w:rPr>
                <w:rFonts w:hint="eastAsia" w:ascii="宋体" w:eastAsia="宋体" w:cs="宋体"/>
                <w:i w:val="0"/>
                <w:iCs w:val="0"/>
                <w:color w:val="000000"/>
                <w:sz w:val="20"/>
                <w:szCs w:val="20"/>
                <w:u w:val="none"/>
              </w:rPr>
            </w:pPr>
          </w:p>
        </w:tc>
      </w:tr>
      <w:tr w14:paraId="02B19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63320"/>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60D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48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CB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E28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E85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90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07F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E87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7C9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C8B9A">
            <w:pPr>
              <w:jc w:val="center"/>
              <w:rPr>
                <w:rFonts w:hint="eastAsia" w:ascii="宋体" w:eastAsia="宋体" w:cs="宋体"/>
                <w:i w:val="0"/>
                <w:iCs w:val="0"/>
                <w:color w:val="000000"/>
                <w:sz w:val="20"/>
                <w:szCs w:val="20"/>
                <w:u w:val="none"/>
              </w:rPr>
            </w:pPr>
          </w:p>
        </w:tc>
      </w:tr>
      <w:tr w14:paraId="06C2F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FA4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3A7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B1705">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C7F77">
            <w:pPr>
              <w:rPr>
                <w:rFonts w:hint="eastAsia" w:ascii="宋体" w:eastAsia="宋体" w:cs="宋体"/>
                <w:i w:val="0"/>
                <w:iCs w:val="0"/>
                <w:color w:val="000000"/>
                <w:sz w:val="20"/>
                <w:szCs w:val="20"/>
                <w:u w:val="none"/>
              </w:rPr>
            </w:pPr>
          </w:p>
        </w:tc>
      </w:tr>
      <w:tr w14:paraId="1D42D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3B4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44B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中央和省市委工作要求，开展学雷锋·文明实践我行动、我在文明实践中心过佳节、我在文明实践中心过寒暑假、文明集市等文明实践活动5场次，召开新时代文明实践中心建设现场推进会，开展文明实践理论宣讲活动。夯实基层精神文明建设阵地，丰富人民群众文化生活。</w:t>
            </w:r>
          </w:p>
        </w:tc>
      </w:tr>
      <w:tr w14:paraId="22F8C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3F6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13E4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7419D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B73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AE1B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5724C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D931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项目负责人：魏和平</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4637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4F26C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6A6C4">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6641E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64F6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0267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51190025T000013169665-2025年年初部门预算特定目标类项目203001市委宣传部未成人思想道德建设经费</w:t>
            </w:r>
          </w:p>
        </w:tc>
      </w:tr>
      <w:tr w14:paraId="10CC0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16E4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62A1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89" w:type="dxa"/>
            <w:gridSpan w:val="2"/>
            <w:tcBorders>
              <w:top w:val="nil"/>
              <w:left w:val="nil"/>
              <w:bottom w:val="nil"/>
              <w:right w:val="nil"/>
            </w:tcBorders>
            <w:shd w:val="clear" w:color="auto" w:fill="auto"/>
            <w:noWrap/>
            <w:vAlign w:val="center"/>
          </w:tcPr>
          <w:p w14:paraId="56A8489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036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0D5BC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F4A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3E09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DE7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C3A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18844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CA229"/>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04B85"/>
        </w:tc>
        <w:tc>
          <w:tcPr>
            <w:tcW w:w="6264"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1080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按照中央和省市委工作要求，完成未成年人（公民）思想道德建设工作，保障未成年人（公民思想道德建设）工作有效开展</w:t>
            </w:r>
          </w:p>
        </w:tc>
        <w:tc>
          <w:tcPr>
            <w:tcW w:w="426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DDDC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按照中央和省市委工作要求，完成未成年人（公民）思想道德建设工作，保障未成年人（公民思想道德建设）工作有效开展</w:t>
            </w:r>
          </w:p>
        </w:tc>
      </w:tr>
      <w:tr w14:paraId="06D4A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B8896"/>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88F5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527"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CEE3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 xml:space="preserve">  围绕中央和省市委工作要求，开展“新时代好少年”学习宣传推介活动、“童声里的中国”少儿歌咏活动，全国文明校园创建、乡村学校少年宫成果展示交流活动等各类活动8场次，召开全市未成年人思想道德建设工作现场推进会，持续深化未成年人“扣好人生第一粒扣子”主题教育实践活动，开展童谣传唱、未成年人网络沉迷宣传教育等活动20余场次。</w:t>
            </w:r>
          </w:p>
        </w:tc>
      </w:tr>
      <w:tr w14:paraId="57221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061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301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B42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A83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9E6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1A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944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6F1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550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0BFFC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72105"/>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6E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04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1D8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21.39</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C01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21.39</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555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DC4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329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2653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1F5D1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CB9D9"/>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B05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802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899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21.39</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49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21.39</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850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0C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9D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35C36"/>
        </w:tc>
      </w:tr>
      <w:tr w14:paraId="67E39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A0804"/>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A4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08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68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B18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772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D43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BC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CCA92"/>
        </w:tc>
      </w:tr>
      <w:tr w14:paraId="0586E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2ADFB"/>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768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47D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E9C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FA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582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96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5D4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CA23E"/>
        </w:tc>
      </w:tr>
      <w:tr w14:paraId="74D52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F3C2A"/>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B87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98DA0">
            <w:pPr>
              <w:jc w:val="center"/>
              <w:rPr>
                <w:rFonts w:hint="eastAsia" w:ascii="宋体" w:eastAsia="宋体" w:cs="宋体"/>
                <w:i w:val="0"/>
                <w:iCs w:val="0"/>
                <w:color w:val="000000"/>
                <w:sz w:val="20"/>
                <w:szCs w:val="20"/>
                <w:u w:val="none"/>
              </w:rPr>
            </w:pP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C6B13">
            <w:pPr>
              <w:jc w:val="center"/>
              <w:rPr>
                <w:rFonts w:hint="eastAsia" w:ascii="宋体" w:eastAsia="宋体" w:cs="宋体"/>
                <w:i w:val="0"/>
                <w:iCs w:val="0"/>
                <w:color w:val="000000"/>
                <w:sz w:val="20"/>
                <w:szCs w:val="20"/>
                <w:u w:val="none"/>
              </w:rPr>
            </w:pPr>
          </w:p>
        </w:tc>
        <w:tc>
          <w:tcPr>
            <w:tcW w:w="232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C7CFB">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0CF9">
            <w:pPr>
              <w:jc w:val="center"/>
              <w:rPr>
                <w:rFonts w:hint="eastAsia" w:ascii="宋体" w:eastAsia="宋体" w:cs="宋体"/>
                <w:i w:val="0"/>
                <w:iCs w:val="0"/>
                <w:color w:val="000000"/>
                <w:sz w:val="20"/>
                <w:szCs w:val="20"/>
                <w:u w:val="none"/>
              </w:rPr>
            </w:pP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717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6C1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790A9"/>
        </w:tc>
      </w:tr>
      <w:tr w14:paraId="2B6A0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47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6A3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031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E4B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F5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16E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49B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A56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782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1B3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B35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00F27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AC14D"/>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3AE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6C3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DA6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开展各类教育实践活动、全国文明校园创建、新时代好少年学习宣传推介活动</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32D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B54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C29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A5B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70E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939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8CB8C">
            <w:pPr>
              <w:jc w:val="center"/>
              <w:rPr>
                <w:rFonts w:hint="eastAsia" w:ascii="宋体" w:eastAsia="宋体" w:cs="宋体"/>
                <w:i w:val="0"/>
                <w:iCs w:val="0"/>
                <w:color w:val="000000"/>
                <w:sz w:val="20"/>
                <w:szCs w:val="20"/>
                <w:u w:val="none"/>
              </w:rPr>
            </w:pPr>
          </w:p>
        </w:tc>
      </w:tr>
      <w:tr w14:paraId="1AEAB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15D8C"/>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C89CA"/>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F00E4"/>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A55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开展全市未成年人思想道德建设工作推进会</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F35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54A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080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2AE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95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439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1D9CE">
            <w:pPr>
              <w:jc w:val="center"/>
              <w:rPr>
                <w:rFonts w:hint="eastAsia" w:ascii="宋体" w:eastAsia="宋体" w:cs="宋体"/>
                <w:i w:val="0"/>
                <w:iCs w:val="0"/>
                <w:color w:val="000000"/>
                <w:sz w:val="20"/>
                <w:szCs w:val="20"/>
                <w:u w:val="none"/>
              </w:rPr>
            </w:pPr>
          </w:p>
        </w:tc>
      </w:tr>
      <w:tr w14:paraId="1F747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372F1"/>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7F0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63B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96F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为全市未成年人健康成长营造社会环境</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27C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296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270FC">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E77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033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FF6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401BA">
            <w:pPr>
              <w:jc w:val="center"/>
              <w:rPr>
                <w:rFonts w:hint="eastAsia" w:ascii="宋体" w:eastAsia="宋体" w:cs="宋体"/>
                <w:i w:val="0"/>
                <w:iCs w:val="0"/>
                <w:color w:val="000000"/>
                <w:sz w:val="20"/>
                <w:szCs w:val="20"/>
                <w:u w:val="none"/>
              </w:rPr>
            </w:pPr>
          </w:p>
        </w:tc>
      </w:tr>
      <w:tr w14:paraId="54836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3556B"/>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438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7E6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CD3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市民对未成人年工作满意度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5B2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225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76280">
            <w:pPr>
              <w:jc w:val="center"/>
              <w:rPr>
                <w:rFonts w:hint="eastAsia" w:ascii="宋体" w:eastAsia="宋体" w:cs="宋体"/>
                <w:i w:val="0"/>
                <w:iCs w:val="0"/>
                <w:color w:val="000000"/>
                <w:sz w:val="20"/>
                <w:szCs w:val="20"/>
                <w:u w:val="none"/>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C4E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A95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54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8A3D">
            <w:pPr>
              <w:jc w:val="center"/>
              <w:rPr>
                <w:rFonts w:hint="eastAsia" w:ascii="宋体" w:eastAsia="宋体" w:cs="宋体"/>
                <w:i w:val="0"/>
                <w:iCs w:val="0"/>
                <w:color w:val="000000"/>
                <w:sz w:val="20"/>
                <w:szCs w:val="20"/>
                <w:u w:val="none"/>
              </w:rPr>
            </w:pPr>
          </w:p>
        </w:tc>
      </w:tr>
      <w:tr w14:paraId="7E0A1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85EF"/>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642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0CC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ACF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498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D5A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8DB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57C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21.39</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F7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5C3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B6C3B">
            <w:pPr>
              <w:jc w:val="center"/>
              <w:rPr>
                <w:rFonts w:hint="eastAsia" w:ascii="宋体" w:eastAsia="宋体" w:cs="宋体"/>
                <w:i w:val="0"/>
                <w:iCs w:val="0"/>
                <w:color w:val="000000"/>
                <w:sz w:val="20"/>
                <w:szCs w:val="20"/>
                <w:u w:val="none"/>
              </w:rPr>
            </w:pPr>
          </w:p>
        </w:tc>
      </w:tr>
      <w:tr w14:paraId="6DF3C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591"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E26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9C9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23EBA">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03193">
            <w:pPr>
              <w:rPr>
                <w:rFonts w:hint="eastAsia" w:ascii="宋体" w:eastAsia="宋体" w:cs="宋体"/>
                <w:i w:val="0"/>
                <w:iCs w:val="0"/>
                <w:color w:val="000000"/>
                <w:sz w:val="20"/>
                <w:szCs w:val="20"/>
                <w:u w:val="none"/>
              </w:rPr>
            </w:pPr>
          </w:p>
        </w:tc>
      </w:tr>
      <w:tr w14:paraId="3CF9C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F0F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5FF9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中央和省市委工作要求，开展“新时代好少年”学习宣传推介活动、“童声里的中国”少儿歌咏活动，全国文明校园创建、乡村学校少年宫成果展示交流活动等各类活动8场次，召开全市未成年人思想道德建设工作现场推进会，持续深化未成年人“扣好人生第一粒扣子”主题教育实践活动，开展童谣传唱、未成年人网络沉迷宣传教育等活动20余场次。推动了全市未成年人思想道德建设工作再上新的台阶。</w:t>
            </w:r>
          </w:p>
        </w:tc>
      </w:tr>
      <w:tr w14:paraId="06875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A07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435D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5FFF9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6E5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2156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23F7A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669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B916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项目负责人：陈晓莉</w:t>
            </w:r>
          </w:p>
        </w:tc>
        <w:tc>
          <w:tcPr>
            <w:tcW w:w="606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B1EF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0F91C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08D88">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3D11E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AD9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012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51190025T000013173176-2025年年初部门预算特定目标类项目203005市社科联优秀成果奖经费</w:t>
            </w:r>
          </w:p>
        </w:tc>
      </w:tr>
      <w:tr w14:paraId="14FA6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8870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0D60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4C495E6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59B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巴中市社会科学界联合会</w:t>
            </w:r>
          </w:p>
        </w:tc>
      </w:tr>
      <w:tr w14:paraId="2B209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5D32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174C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F2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BE4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77D7F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10D8"/>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3A281"/>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46A7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目标1：激励社科领域社科研究者积极性，不断提高社科研究水平，汇集巴中经济社会发展研究高质量理论成果。</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目标2：人才库、项目库、成果库扩建与维护，启动第四次社科表扬工作。</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目标3：召开初评、中期评审、专家评审会，完成社科评奖各项工作，编撰优秀成果集。</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4792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全部完成</w:t>
            </w:r>
          </w:p>
        </w:tc>
      </w:tr>
      <w:tr w14:paraId="1EF83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49AC"/>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2DC5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CAC4">
            <w:pPr>
              <w:rPr>
                <w:rFonts w:hint="eastAsia" w:ascii="宋体" w:eastAsia="宋体" w:cs="宋体"/>
                <w:i w:val="0"/>
                <w:iCs w:val="0"/>
                <w:color w:val="000000"/>
                <w:sz w:val="20"/>
                <w:szCs w:val="20"/>
                <w:u w:val="none"/>
              </w:rPr>
            </w:pPr>
          </w:p>
        </w:tc>
      </w:tr>
      <w:tr w14:paraId="5B2FD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0D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49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6FD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AA0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CD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E8A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029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4D3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26D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45E83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86A5C"/>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690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DD1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202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D1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65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A60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65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6BE5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B999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1CD4"/>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7B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B83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EC0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EF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049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24C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1EF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A8259"/>
        </w:tc>
      </w:tr>
      <w:tr w14:paraId="7A76B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DEE85"/>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40D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409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CA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691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C55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3E9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74B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B1B0B"/>
        </w:tc>
      </w:tr>
      <w:tr w14:paraId="281BD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A5A0F"/>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7AA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56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88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862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6E3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2D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713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E00D5"/>
        </w:tc>
      </w:tr>
      <w:tr w14:paraId="30E7B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5E134"/>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E4F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CA2DE">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B4198">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F36BB">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82A34">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2C6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02B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96FF"/>
        </w:tc>
      </w:tr>
      <w:tr w14:paraId="2321B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754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4F1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099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FFB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BC2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D17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13D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2FD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0EE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300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A6D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29680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6BED1"/>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54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C2A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811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编撰优秀成果集、发放优秀成果奖</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099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7EA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072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34D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247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F09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8CF29">
            <w:pPr>
              <w:jc w:val="center"/>
              <w:rPr>
                <w:rFonts w:hint="eastAsia" w:ascii="宋体" w:eastAsia="宋体" w:cs="宋体"/>
                <w:i w:val="0"/>
                <w:iCs w:val="0"/>
                <w:color w:val="000000"/>
                <w:sz w:val="20"/>
                <w:szCs w:val="20"/>
                <w:u w:val="none"/>
              </w:rPr>
            </w:pPr>
          </w:p>
        </w:tc>
      </w:tr>
      <w:tr w14:paraId="0C1B4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FEFA8"/>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604D5"/>
        </w:tc>
        <w:tc>
          <w:tcPr>
            <w:tcW w:w="17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0C210"/>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650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初评、专家评审会</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093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3D1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9F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613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861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CC3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5F349">
            <w:pPr>
              <w:jc w:val="center"/>
              <w:rPr>
                <w:rFonts w:hint="eastAsia" w:ascii="宋体" w:eastAsia="宋体" w:cs="宋体"/>
                <w:i w:val="0"/>
                <w:iCs w:val="0"/>
                <w:color w:val="000000"/>
                <w:sz w:val="20"/>
                <w:szCs w:val="20"/>
                <w:u w:val="none"/>
              </w:rPr>
            </w:pPr>
          </w:p>
        </w:tc>
      </w:tr>
      <w:tr w14:paraId="3D601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34B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CB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17F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9DB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缴发对巴中经济社会发展社科理论研究热情，提高巴中知名主，对外宣传巴中具有重大影响力</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7D1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4B6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C3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216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A89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64E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7BCDC">
            <w:pPr>
              <w:jc w:val="center"/>
              <w:rPr>
                <w:rFonts w:hint="eastAsia" w:ascii="宋体" w:eastAsia="宋体" w:cs="宋体"/>
                <w:i w:val="0"/>
                <w:iCs w:val="0"/>
                <w:color w:val="000000"/>
                <w:sz w:val="20"/>
                <w:szCs w:val="20"/>
                <w:u w:val="none"/>
              </w:rPr>
            </w:pPr>
          </w:p>
        </w:tc>
      </w:tr>
      <w:tr w14:paraId="438C6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0A4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B43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6A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29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市民满意度</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B2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B98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347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F83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7F1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126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9ABAE">
            <w:pPr>
              <w:jc w:val="center"/>
              <w:rPr>
                <w:rFonts w:hint="eastAsia" w:ascii="宋体" w:eastAsia="宋体" w:cs="宋体"/>
                <w:i w:val="0"/>
                <w:iCs w:val="0"/>
                <w:color w:val="000000"/>
                <w:sz w:val="20"/>
                <w:szCs w:val="20"/>
                <w:u w:val="none"/>
              </w:rPr>
            </w:pPr>
          </w:p>
        </w:tc>
      </w:tr>
      <w:tr w14:paraId="61D10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2682F"/>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6E5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954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DAB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2A6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C4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E6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40A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8F2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0EFF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68427">
            <w:pPr>
              <w:jc w:val="center"/>
              <w:rPr>
                <w:rFonts w:hint="eastAsia" w:ascii="宋体" w:eastAsia="宋体" w:cs="宋体"/>
                <w:i w:val="0"/>
                <w:iCs w:val="0"/>
                <w:color w:val="000000"/>
                <w:sz w:val="20"/>
                <w:szCs w:val="20"/>
                <w:u w:val="none"/>
              </w:rPr>
            </w:pPr>
          </w:p>
        </w:tc>
      </w:tr>
      <w:tr w14:paraId="46E7F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C64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B0F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6413">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8E5E2">
            <w:pPr>
              <w:rPr>
                <w:rFonts w:hint="eastAsia" w:ascii="宋体" w:eastAsia="宋体" w:cs="宋体"/>
                <w:i w:val="0"/>
                <w:iCs w:val="0"/>
                <w:color w:val="000000"/>
                <w:sz w:val="20"/>
                <w:szCs w:val="20"/>
                <w:u w:val="none"/>
              </w:rPr>
            </w:pPr>
          </w:p>
        </w:tc>
      </w:tr>
      <w:tr w14:paraId="799B1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881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30FB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年度三库（专家智库、社科资源库、课题项目库）建设项目严格按照年度预算及工作方案有序推进，预算资金规范使用、支出合规合理。全面完成智库专家增补、社科文献资源归集、在研课题与储备项目入库管理等既定目标，三库体系持续完善、内容不断充实、运行机制逐步健全。有效夯实了本地社科理论研究、决策咨询、学术交流、科普宣传工作基础，提升了社科联履职服务能力与资源统筹利用效率。该项目自评总分90分。</w:t>
            </w:r>
          </w:p>
        </w:tc>
      </w:tr>
      <w:tr w14:paraId="6C33D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9F1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C9D7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信息化管理水平偏弱，三库数字化管理工具简单，缺乏系统化线上管理平台，查询、调取、管理效率偏低。</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项目宣传与成果转化不足，入库资源、研究成果的推广运用和社会实践转化力度不够，社会效益辐射范围有限。</w:t>
            </w:r>
          </w:p>
        </w:tc>
      </w:tr>
      <w:tr w14:paraId="681F3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52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79B4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提升数字化建设水平，结合工作实际优化升级线上管理模式，逐步完善三库信息化管理功能，简化管理流程，提升日常管理与资源调取效率。</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加大成果转化与宣传推广力度，整合入库优质社科成果，结合地方发展需求做好成果梳理、报送与普及运用，拓宽社科服务社会、服务基层的渠道，放大项目综合社会效益。</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严格预算执行管理，优化资金使用安排，严控经费支出标准，强化全过程绩效管理，切实提升财政资金使用精准度和使用效益。</w:t>
            </w:r>
          </w:p>
        </w:tc>
      </w:tr>
      <w:tr w14:paraId="40E3A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nil"/>
              <w:left w:val="nil"/>
              <w:bottom w:val="nil"/>
              <w:right w:val="nil"/>
            </w:tcBorders>
            <w:shd w:val="clear" w:color="auto" w:fill="auto"/>
            <w:noWrap/>
            <w:vAlign w:val="center"/>
          </w:tcPr>
          <w:p w14:paraId="0825EF9F">
            <w:pPr>
              <w:rPr>
                <w:rFonts w:hint="eastAsia" w:ascii="宋体" w:eastAsia="宋体" w:cs="宋体"/>
                <w:i w:val="0"/>
                <w:iCs w:val="0"/>
                <w:color w:val="000000"/>
                <w:sz w:val="20"/>
                <w:szCs w:val="20"/>
                <w:u w:val="none"/>
              </w:rPr>
            </w:pPr>
          </w:p>
        </w:tc>
        <w:tc>
          <w:tcPr>
            <w:tcW w:w="1590" w:type="dxa"/>
            <w:gridSpan w:val="2"/>
            <w:tcBorders>
              <w:top w:val="nil"/>
              <w:left w:val="nil"/>
              <w:bottom w:val="nil"/>
              <w:right w:val="nil"/>
            </w:tcBorders>
            <w:shd w:val="clear" w:color="auto" w:fill="auto"/>
            <w:noWrap/>
            <w:vAlign w:val="center"/>
          </w:tcPr>
          <w:p w14:paraId="157B5001">
            <w:pPr>
              <w:rPr>
                <w:rFonts w:hint="eastAsia" w:ascii="宋体" w:eastAsia="宋体" w:cs="宋体"/>
                <w:i w:val="0"/>
                <w:iCs w:val="0"/>
                <w:color w:val="000000"/>
                <w:sz w:val="20"/>
                <w:szCs w:val="20"/>
                <w:u w:val="none"/>
              </w:rPr>
            </w:pPr>
          </w:p>
        </w:tc>
        <w:tc>
          <w:tcPr>
            <w:tcW w:w="1770" w:type="dxa"/>
            <w:gridSpan w:val="2"/>
            <w:tcBorders>
              <w:top w:val="nil"/>
              <w:left w:val="nil"/>
              <w:bottom w:val="nil"/>
              <w:right w:val="nil"/>
            </w:tcBorders>
            <w:shd w:val="clear" w:color="auto" w:fill="auto"/>
            <w:noWrap/>
            <w:vAlign w:val="center"/>
          </w:tcPr>
          <w:p w14:paraId="1670E92C">
            <w:pPr>
              <w:rPr>
                <w:rFonts w:hint="eastAsia" w:ascii="宋体" w:eastAsia="宋体" w:cs="宋体"/>
                <w:i w:val="0"/>
                <w:iCs w:val="0"/>
                <w:color w:val="000000"/>
                <w:sz w:val="20"/>
                <w:szCs w:val="20"/>
                <w:u w:val="none"/>
              </w:rPr>
            </w:pPr>
          </w:p>
        </w:tc>
        <w:tc>
          <w:tcPr>
            <w:tcW w:w="2265" w:type="dxa"/>
            <w:gridSpan w:val="2"/>
            <w:tcBorders>
              <w:top w:val="nil"/>
              <w:left w:val="nil"/>
              <w:bottom w:val="nil"/>
              <w:right w:val="nil"/>
            </w:tcBorders>
            <w:shd w:val="clear" w:color="auto" w:fill="auto"/>
            <w:noWrap/>
            <w:vAlign w:val="center"/>
          </w:tcPr>
          <w:p w14:paraId="63511E9F">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23B9956B">
            <w:pPr>
              <w:rPr>
                <w:rFonts w:hint="eastAsia" w:ascii="宋体" w:eastAsia="宋体" w:cs="宋体"/>
                <w:i w:val="0"/>
                <w:iCs w:val="0"/>
                <w:color w:val="000000"/>
                <w:sz w:val="20"/>
                <w:szCs w:val="20"/>
                <w:u w:val="none"/>
              </w:rPr>
            </w:pPr>
          </w:p>
        </w:tc>
        <w:tc>
          <w:tcPr>
            <w:tcW w:w="1200" w:type="dxa"/>
            <w:gridSpan w:val="2"/>
            <w:tcBorders>
              <w:top w:val="nil"/>
              <w:left w:val="nil"/>
              <w:bottom w:val="nil"/>
              <w:right w:val="nil"/>
            </w:tcBorders>
            <w:shd w:val="clear" w:color="auto" w:fill="auto"/>
            <w:noWrap/>
            <w:vAlign w:val="center"/>
          </w:tcPr>
          <w:p w14:paraId="4B78EB7D">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110D6A32">
            <w:pPr>
              <w:rPr>
                <w:rFonts w:hint="eastAsia" w:ascii="宋体" w:eastAsia="宋体" w:cs="宋体"/>
                <w:i w:val="0"/>
                <w:iCs w:val="0"/>
                <w:color w:val="000000"/>
                <w:sz w:val="20"/>
                <w:szCs w:val="20"/>
                <w:u w:val="none"/>
              </w:rPr>
            </w:pPr>
          </w:p>
        </w:tc>
        <w:tc>
          <w:tcPr>
            <w:tcW w:w="1095" w:type="dxa"/>
            <w:gridSpan w:val="2"/>
            <w:tcBorders>
              <w:top w:val="nil"/>
              <w:left w:val="nil"/>
              <w:bottom w:val="nil"/>
              <w:right w:val="nil"/>
            </w:tcBorders>
            <w:shd w:val="clear" w:color="auto" w:fill="auto"/>
            <w:noWrap/>
            <w:vAlign w:val="center"/>
          </w:tcPr>
          <w:p w14:paraId="0C3AFB2C">
            <w:pPr>
              <w:rPr>
                <w:rFonts w:hint="eastAsia" w:ascii="宋体" w:eastAsia="宋体" w:cs="宋体"/>
                <w:i w:val="0"/>
                <w:iCs w:val="0"/>
                <w:color w:val="000000"/>
                <w:sz w:val="20"/>
                <w:szCs w:val="20"/>
                <w:u w:val="none"/>
              </w:rPr>
            </w:pPr>
          </w:p>
        </w:tc>
        <w:tc>
          <w:tcPr>
            <w:tcW w:w="510" w:type="dxa"/>
            <w:gridSpan w:val="2"/>
            <w:tcBorders>
              <w:top w:val="nil"/>
              <w:left w:val="nil"/>
              <w:bottom w:val="nil"/>
              <w:right w:val="nil"/>
            </w:tcBorders>
            <w:shd w:val="clear" w:color="auto" w:fill="auto"/>
            <w:noWrap/>
            <w:vAlign w:val="center"/>
          </w:tcPr>
          <w:p w14:paraId="6EF26D47">
            <w:pPr>
              <w:rPr>
                <w:rFonts w:hint="eastAsia" w:ascii="宋体" w:eastAsia="宋体" w:cs="宋体"/>
                <w:i w:val="0"/>
                <w:iCs w:val="0"/>
                <w:color w:val="000000"/>
                <w:sz w:val="20"/>
                <w:szCs w:val="20"/>
                <w:u w:val="none"/>
              </w:rPr>
            </w:pPr>
          </w:p>
        </w:tc>
        <w:tc>
          <w:tcPr>
            <w:tcW w:w="450" w:type="dxa"/>
            <w:tcBorders>
              <w:top w:val="nil"/>
              <w:left w:val="nil"/>
              <w:bottom w:val="nil"/>
              <w:right w:val="nil"/>
            </w:tcBorders>
            <w:shd w:val="clear" w:color="auto" w:fill="auto"/>
            <w:noWrap/>
            <w:vAlign w:val="center"/>
          </w:tcPr>
          <w:p w14:paraId="7B441E12">
            <w:pPr>
              <w:rPr>
                <w:rFonts w:hint="eastAsia" w:ascii="宋体" w:eastAsia="宋体" w:cs="宋体"/>
                <w:i w:val="0"/>
                <w:iCs w:val="0"/>
                <w:color w:val="000000"/>
                <w:sz w:val="20"/>
                <w:szCs w:val="20"/>
                <w:u w:val="none"/>
              </w:rPr>
            </w:pPr>
          </w:p>
        </w:tc>
        <w:tc>
          <w:tcPr>
            <w:tcW w:w="2145" w:type="dxa"/>
            <w:gridSpan w:val="2"/>
            <w:tcBorders>
              <w:top w:val="nil"/>
              <w:left w:val="nil"/>
              <w:bottom w:val="nil"/>
              <w:right w:val="nil"/>
            </w:tcBorders>
            <w:shd w:val="clear" w:color="auto" w:fill="auto"/>
            <w:noWrap/>
            <w:vAlign w:val="center"/>
          </w:tcPr>
          <w:p w14:paraId="71EABCB0">
            <w:pPr>
              <w:rPr>
                <w:rFonts w:hint="eastAsia" w:ascii="宋体" w:eastAsia="宋体" w:cs="宋体"/>
                <w:i w:val="0"/>
                <w:iCs w:val="0"/>
                <w:color w:val="000000"/>
                <w:sz w:val="20"/>
                <w:szCs w:val="20"/>
                <w:u w:val="none"/>
              </w:rPr>
            </w:pPr>
          </w:p>
        </w:tc>
      </w:tr>
      <w:tr w14:paraId="16927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76659">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2283B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B921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95D3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51190025T000013173682-2025年年初部门预算特定目标类项目203005市社科联晏阳初文化名片打造经费</w:t>
            </w:r>
          </w:p>
        </w:tc>
      </w:tr>
      <w:tr w14:paraId="4CAE0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3DFF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BDBD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4B201CE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9D8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巴中市社会科学界联合会</w:t>
            </w:r>
          </w:p>
        </w:tc>
      </w:tr>
      <w:tr w14:paraId="29A7A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927C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DC9A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0FD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B77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2243A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2D253"/>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4CC0B"/>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987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 xml:space="preserve"> 加强与国内外晏阳初研究的专家学者、学术团体的联系与学术交流，特别是新时代下有创造性的实践活动的经验交流，完成晏阳初平民教育及乡村振兴、助力打造晏阳初研究会巴中联盟平台及永久会址</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F992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全部完成</w:t>
            </w:r>
          </w:p>
        </w:tc>
      </w:tr>
      <w:tr w14:paraId="52A0B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C9960"/>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3AF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B1CF6">
            <w:pPr>
              <w:rPr>
                <w:rFonts w:hint="eastAsia" w:ascii="宋体" w:eastAsia="宋体" w:cs="宋体"/>
                <w:i w:val="0"/>
                <w:iCs w:val="0"/>
                <w:color w:val="000000"/>
                <w:sz w:val="20"/>
                <w:szCs w:val="20"/>
                <w:u w:val="none"/>
              </w:rPr>
            </w:pPr>
          </w:p>
        </w:tc>
      </w:tr>
      <w:tr w14:paraId="12933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944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7CB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530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6E9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BE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42B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DD9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E3E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5C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3603E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5B021"/>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45C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4CA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EF9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8.98</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C0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8.98</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A52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40D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94E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A914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4CF7E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E8716"/>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E32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A46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BF1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8.98</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A45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8.98</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88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64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B6B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70FEE"/>
        </w:tc>
      </w:tr>
      <w:tr w14:paraId="57FF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14DE5"/>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03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54A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92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CB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1E5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6FA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0BF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5812E"/>
        </w:tc>
      </w:tr>
      <w:tr w14:paraId="0EAE3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398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46E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4D7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8C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621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F8E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CED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B5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F1E5F"/>
        </w:tc>
      </w:tr>
      <w:tr w14:paraId="7BE70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9EF2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E3B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C839">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C96D8">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A25D8">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02BF6">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D1F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2B6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C79F4"/>
        </w:tc>
      </w:tr>
      <w:tr w14:paraId="0733E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882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EE6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85B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A36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57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ACC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52E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306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D38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A95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EF9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37576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D9D3"/>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D31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EAA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B97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全国晏阳初思想论坛学术及交流</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CF5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615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A54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A1C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6E8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9F8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8A139">
            <w:pPr>
              <w:jc w:val="center"/>
              <w:rPr>
                <w:rFonts w:hint="eastAsia" w:ascii="宋体" w:eastAsia="宋体" w:cs="宋体"/>
                <w:i w:val="0"/>
                <w:iCs w:val="0"/>
                <w:color w:val="000000"/>
                <w:sz w:val="20"/>
                <w:szCs w:val="20"/>
                <w:u w:val="none"/>
              </w:rPr>
            </w:pPr>
          </w:p>
        </w:tc>
      </w:tr>
      <w:tr w14:paraId="0CE2B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88987"/>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B1A64"/>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9E4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时效指标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EC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经费保障时间</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A31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61D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D32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727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60C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BC7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E226F">
            <w:pPr>
              <w:jc w:val="center"/>
              <w:rPr>
                <w:rFonts w:hint="eastAsia" w:ascii="宋体" w:eastAsia="宋体" w:cs="宋体"/>
                <w:i w:val="0"/>
                <w:iCs w:val="0"/>
                <w:color w:val="000000"/>
                <w:sz w:val="20"/>
                <w:szCs w:val="20"/>
                <w:u w:val="none"/>
              </w:rPr>
            </w:pPr>
          </w:p>
        </w:tc>
      </w:tr>
      <w:tr w14:paraId="0B6BD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44355"/>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760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164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DEC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晏阳初名片打造提升巴中知名度，带动文化旅游经济发展</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099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9A5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962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E8F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43F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A69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B9554">
            <w:pPr>
              <w:jc w:val="center"/>
              <w:rPr>
                <w:rFonts w:hint="eastAsia" w:ascii="宋体" w:eastAsia="宋体" w:cs="宋体"/>
                <w:i w:val="0"/>
                <w:iCs w:val="0"/>
                <w:color w:val="000000"/>
                <w:sz w:val="20"/>
                <w:szCs w:val="20"/>
                <w:u w:val="none"/>
              </w:rPr>
            </w:pPr>
          </w:p>
        </w:tc>
      </w:tr>
      <w:tr w14:paraId="61340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C6C17"/>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B7953"/>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E7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AC3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扩大晏阳初故里在全国及世界的影响力，推动晏阳初名片与巴中文旅康养首位相结合，将晏阳初理论及乡村振兴结合，推出一批高质量研究成果</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D7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4B8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F36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83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CA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42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4358C">
            <w:pPr>
              <w:jc w:val="center"/>
              <w:rPr>
                <w:rFonts w:hint="eastAsia" w:ascii="宋体" w:eastAsia="宋体" w:cs="宋体"/>
                <w:i w:val="0"/>
                <w:iCs w:val="0"/>
                <w:color w:val="000000"/>
                <w:sz w:val="20"/>
                <w:szCs w:val="20"/>
                <w:u w:val="none"/>
              </w:rPr>
            </w:pPr>
          </w:p>
        </w:tc>
      </w:tr>
      <w:tr w14:paraId="1B2A6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387C8"/>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C6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AB3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A15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市民</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EC9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98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4EE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67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1FA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AF8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1DCCF">
            <w:pPr>
              <w:jc w:val="center"/>
              <w:rPr>
                <w:rFonts w:hint="eastAsia" w:ascii="宋体" w:eastAsia="宋体" w:cs="宋体"/>
                <w:i w:val="0"/>
                <w:iCs w:val="0"/>
                <w:color w:val="000000"/>
                <w:sz w:val="20"/>
                <w:szCs w:val="20"/>
                <w:u w:val="none"/>
              </w:rPr>
            </w:pPr>
          </w:p>
        </w:tc>
      </w:tr>
      <w:tr w14:paraId="67D82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30617"/>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22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DDE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8A3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027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76A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73B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CC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49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29E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DC20A">
            <w:pPr>
              <w:jc w:val="center"/>
              <w:rPr>
                <w:rFonts w:hint="eastAsia" w:ascii="宋体" w:eastAsia="宋体" w:cs="宋体"/>
                <w:i w:val="0"/>
                <w:iCs w:val="0"/>
                <w:color w:val="000000"/>
                <w:sz w:val="20"/>
                <w:szCs w:val="20"/>
                <w:u w:val="none"/>
              </w:rPr>
            </w:pPr>
          </w:p>
        </w:tc>
      </w:tr>
      <w:tr w14:paraId="61FF8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7FC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6F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6A056">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44BA0">
            <w:pPr>
              <w:rPr>
                <w:rFonts w:hint="eastAsia" w:ascii="宋体" w:eastAsia="宋体" w:cs="宋体"/>
                <w:i w:val="0"/>
                <w:iCs w:val="0"/>
                <w:color w:val="000000"/>
                <w:sz w:val="20"/>
                <w:szCs w:val="20"/>
                <w:u w:val="none"/>
              </w:rPr>
            </w:pPr>
          </w:p>
        </w:tc>
      </w:tr>
      <w:tr w14:paraId="70DF9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AA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3927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年度晏阳初文化名片打造项目持续深挖晏阳初平民教育、乡村建设思想内核，扎实开展文化宣传、品牌推广、主题活动、史料挖掘与文化传承等工作，有效擦亮地方特色文化标识，扩大晏阳初文化品牌影响力与知晓度。助力本土特色社科文化建设、文旅融合发展与人文底蕴提升，项目年度目标基本完成，资金使用效益总体良好，社会效益成效显著。该项目自评总分90分。</w:t>
            </w:r>
          </w:p>
        </w:tc>
      </w:tr>
      <w:tr w14:paraId="5B3D4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053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9EF2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宣传推广形式较为单一，传播渠道、载体不够丰富，新媒体宣传力度偏弱，品牌传播覆盖面有限。</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特色活动常态化不足，主题展演、研学交流、普及宣讲等活动频次偏少，品牌活化力度不够。</w:t>
            </w:r>
          </w:p>
        </w:tc>
      </w:tr>
      <w:tr w14:paraId="0A5BE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A3F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622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拓宽多元宣传渠道，统筹线上线下宣传方式，用好新媒体平台，常态化推送文化科普、人物故事、活动动态，提升品牌传播力。</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常态化开展主题活动，结合节点策划举办专题宣讲、展览展示、研学实践、学术交流等活动，持续提升名片活跃度与影响力。</w:t>
            </w:r>
          </w:p>
        </w:tc>
      </w:tr>
      <w:tr w14:paraId="514DD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nil"/>
              <w:left w:val="nil"/>
              <w:bottom w:val="nil"/>
              <w:right w:val="nil"/>
            </w:tcBorders>
            <w:shd w:val="clear" w:color="auto" w:fill="auto"/>
            <w:noWrap/>
            <w:vAlign w:val="center"/>
          </w:tcPr>
          <w:p w14:paraId="29591274">
            <w:pPr>
              <w:rPr>
                <w:rFonts w:hint="eastAsia" w:ascii="宋体" w:eastAsia="宋体" w:cs="宋体"/>
                <w:i w:val="0"/>
                <w:iCs w:val="0"/>
                <w:color w:val="000000"/>
                <w:sz w:val="20"/>
                <w:szCs w:val="20"/>
                <w:u w:val="none"/>
              </w:rPr>
            </w:pPr>
          </w:p>
        </w:tc>
        <w:tc>
          <w:tcPr>
            <w:tcW w:w="1590" w:type="dxa"/>
            <w:gridSpan w:val="2"/>
            <w:tcBorders>
              <w:top w:val="nil"/>
              <w:left w:val="nil"/>
              <w:bottom w:val="nil"/>
              <w:right w:val="nil"/>
            </w:tcBorders>
            <w:shd w:val="clear" w:color="auto" w:fill="auto"/>
            <w:noWrap/>
            <w:vAlign w:val="center"/>
          </w:tcPr>
          <w:p w14:paraId="7AB27BAA">
            <w:pPr>
              <w:rPr>
                <w:rFonts w:hint="eastAsia" w:ascii="宋体" w:eastAsia="宋体" w:cs="宋体"/>
                <w:i w:val="0"/>
                <w:iCs w:val="0"/>
                <w:color w:val="000000"/>
                <w:sz w:val="20"/>
                <w:szCs w:val="20"/>
                <w:u w:val="none"/>
              </w:rPr>
            </w:pPr>
          </w:p>
        </w:tc>
        <w:tc>
          <w:tcPr>
            <w:tcW w:w="1770" w:type="dxa"/>
            <w:gridSpan w:val="2"/>
            <w:tcBorders>
              <w:top w:val="nil"/>
              <w:left w:val="nil"/>
              <w:bottom w:val="nil"/>
              <w:right w:val="nil"/>
            </w:tcBorders>
            <w:shd w:val="clear" w:color="auto" w:fill="auto"/>
            <w:noWrap/>
            <w:vAlign w:val="center"/>
          </w:tcPr>
          <w:p w14:paraId="78ED1CE1">
            <w:pPr>
              <w:rPr>
                <w:rFonts w:hint="eastAsia" w:ascii="宋体" w:eastAsia="宋体" w:cs="宋体"/>
                <w:i w:val="0"/>
                <w:iCs w:val="0"/>
                <w:color w:val="000000"/>
                <w:sz w:val="20"/>
                <w:szCs w:val="20"/>
                <w:u w:val="none"/>
              </w:rPr>
            </w:pPr>
          </w:p>
        </w:tc>
        <w:tc>
          <w:tcPr>
            <w:tcW w:w="2265" w:type="dxa"/>
            <w:gridSpan w:val="2"/>
            <w:tcBorders>
              <w:top w:val="nil"/>
              <w:left w:val="nil"/>
              <w:bottom w:val="nil"/>
              <w:right w:val="nil"/>
            </w:tcBorders>
            <w:shd w:val="clear" w:color="auto" w:fill="auto"/>
            <w:noWrap/>
            <w:vAlign w:val="center"/>
          </w:tcPr>
          <w:p w14:paraId="411BC3C3">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74D07B01">
            <w:pPr>
              <w:rPr>
                <w:rFonts w:hint="eastAsia" w:ascii="宋体" w:eastAsia="宋体" w:cs="宋体"/>
                <w:i w:val="0"/>
                <w:iCs w:val="0"/>
                <w:color w:val="000000"/>
                <w:sz w:val="20"/>
                <w:szCs w:val="20"/>
                <w:u w:val="none"/>
              </w:rPr>
            </w:pPr>
          </w:p>
        </w:tc>
        <w:tc>
          <w:tcPr>
            <w:tcW w:w="1200" w:type="dxa"/>
            <w:gridSpan w:val="2"/>
            <w:tcBorders>
              <w:top w:val="nil"/>
              <w:left w:val="nil"/>
              <w:bottom w:val="nil"/>
              <w:right w:val="nil"/>
            </w:tcBorders>
            <w:shd w:val="clear" w:color="auto" w:fill="auto"/>
            <w:noWrap/>
            <w:vAlign w:val="center"/>
          </w:tcPr>
          <w:p w14:paraId="02BBBC83">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79A34483">
            <w:pPr>
              <w:rPr>
                <w:rFonts w:hint="eastAsia" w:ascii="宋体" w:eastAsia="宋体" w:cs="宋体"/>
                <w:i w:val="0"/>
                <w:iCs w:val="0"/>
                <w:color w:val="000000"/>
                <w:sz w:val="20"/>
                <w:szCs w:val="20"/>
                <w:u w:val="none"/>
              </w:rPr>
            </w:pPr>
          </w:p>
        </w:tc>
        <w:tc>
          <w:tcPr>
            <w:tcW w:w="1095" w:type="dxa"/>
            <w:gridSpan w:val="2"/>
            <w:tcBorders>
              <w:top w:val="nil"/>
              <w:left w:val="nil"/>
              <w:bottom w:val="nil"/>
              <w:right w:val="nil"/>
            </w:tcBorders>
            <w:shd w:val="clear" w:color="auto" w:fill="auto"/>
            <w:noWrap/>
            <w:vAlign w:val="center"/>
          </w:tcPr>
          <w:p w14:paraId="6BCEA9E3">
            <w:pPr>
              <w:rPr>
                <w:rFonts w:hint="eastAsia" w:ascii="宋体" w:eastAsia="宋体" w:cs="宋体"/>
                <w:i w:val="0"/>
                <w:iCs w:val="0"/>
                <w:color w:val="000000"/>
                <w:sz w:val="20"/>
                <w:szCs w:val="20"/>
                <w:u w:val="none"/>
              </w:rPr>
            </w:pPr>
          </w:p>
        </w:tc>
        <w:tc>
          <w:tcPr>
            <w:tcW w:w="510" w:type="dxa"/>
            <w:gridSpan w:val="2"/>
            <w:tcBorders>
              <w:top w:val="nil"/>
              <w:left w:val="nil"/>
              <w:bottom w:val="nil"/>
              <w:right w:val="nil"/>
            </w:tcBorders>
            <w:shd w:val="clear" w:color="auto" w:fill="auto"/>
            <w:noWrap/>
            <w:vAlign w:val="center"/>
          </w:tcPr>
          <w:p w14:paraId="40BD9175">
            <w:pPr>
              <w:rPr>
                <w:rFonts w:hint="eastAsia" w:ascii="宋体" w:eastAsia="宋体" w:cs="宋体"/>
                <w:i w:val="0"/>
                <w:iCs w:val="0"/>
                <w:color w:val="000000"/>
                <w:sz w:val="20"/>
                <w:szCs w:val="20"/>
                <w:u w:val="none"/>
              </w:rPr>
            </w:pPr>
          </w:p>
        </w:tc>
        <w:tc>
          <w:tcPr>
            <w:tcW w:w="450" w:type="dxa"/>
            <w:tcBorders>
              <w:top w:val="nil"/>
              <w:left w:val="nil"/>
              <w:bottom w:val="nil"/>
              <w:right w:val="nil"/>
            </w:tcBorders>
            <w:shd w:val="clear" w:color="auto" w:fill="auto"/>
            <w:noWrap/>
            <w:vAlign w:val="center"/>
          </w:tcPr>
          <w:p w14:paraId="204EEE1B">
            <w:pPr>
              <w:rPr>
                <w:rFonts w:hint="eastAsia" w:ascii="宋体" w:eastAsia="宋体" w:cs="宋体"/>
                <w:i w:val="0"/>
                <w:iCs w:val="0"/>
                <w:color w:val="000000"/>
                <w:sz w:val="20"/>
                <w:szCs w:val="20"/>
                <w:u w:val="none"/>
              </w:rPr>
            </w:pPr>
          </w:p>
        </w:tc>
        <w:tc>
          <w:tcPr>
            <w:tcW w:w="2145" w:type="dxa"/>
            <w:gridSpan w:val="2"/>
            <w:tcBorders>
              <w:top w:val="nil"/>
              <w:left w:val="nil"/>
              <w:bottom w:val="nil"/>
              <w:right w:val="nil"/>
            </w:tcBorders>
            <w:shd w:val="clear" w:color="auto" w:fill="auto"/>
            <w:noWrap/>
            <w:vAlign w:val="center"/>
          </w:tcPr>
          <w:p w14:paraId="260F428C">
            <w:pPr>
              <w:rPr>
                <w:rFonts w:hint="eastAsia" w:ascii="宋体" w:eastAsia="宋体" w:cs="宋体"/>
                <w:i w:val="0"/>
                <w:iCs w:val="0"/>
                <w:color w:val="000000"/>
                <w:sz w:val="20"/>
                <w:szCs w:val="20"/>
                <w:u w:val="none"/>
              </w:rPr>
            </w:pPr>
          </w:p>
        </w:tc>
      </w:tr>
      <w:tr w14:paraId="4C8B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037A2">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49CDB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9F46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1751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51190025T000013173779-2025年年初部门预算特定目标类项目203005市社科联重点课题研究经费</w:t>
            </w:r>
          </w:p>
        </w:tc>
      </w:tr>
      <w:tr w14:paraId="4DF6D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5E8B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39C0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490C585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A30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巴中市社会科学界联合会</w:t>
            </w:r>
          </w:p>
        </w:tc>
      </w:tr>
      <w:tr w14:paraId="0BF56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0DC9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1656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CA2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40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57E03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CD489"/>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E134F"/>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8D6D0">
            <w:pPr>
              <w:keepNext w:val="0"/>
              <w:keepLines w:val="0"/>
              <w:widowControl/>
              <w:suppressLineNumbers w:val="0"/>
              <w:spacing w:after="200" w:afterAutospacing="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培养社科人才，纵深推进理论研讨及成果转化运用，为巴中经济社会发展贡献智慧和力量</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br w:type="textWrapping"/>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696A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全部完成</w:t>
            </w:r>
          </w:p>
        </w:tc>
      </w:tr>
      <w:tr w14:paraId="0CA60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F3BC2"/>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683F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BF081">
            <w:pPr>
              <w:rPr>
                <w:rFonts w:hint="eastAsia" w:ascii="宋体" w:eastAsia="宋体" w:cs="宋体"/>
                <w:i w:val="0"/>
                <w:iCs w:val="0"/>
                <w:color w:val="000000"/>
                <w:sz w:val="20"/>
                <w:szCs w:val="20"/>
                <w:u w:val="none"/>
              </w:rPr>
            </w:pPr>
          </w:p>
        </w:tc>
      </w:tr>
      <w:tr w14:paraId="375D9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F96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FA1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A24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EFC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7C9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0C3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69B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8C9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760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45EDE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F41B"/>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0C9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22C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FEF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46.12</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41B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46.12</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A1A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2C6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80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7291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9849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17439"/>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8C0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A69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B9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46.12</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D86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46.12</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7E4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F0C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DB4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0AF28"/>
        </w:tc>
      </w:tr>
      <w:tr w14:paraId="6F8D9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3D75"/>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577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E18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5E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19E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EB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5B8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8AF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A6A5"/>
        </w:tc>
      </w:tr>
      <w:tr w14:paraId="29FDD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C50C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98D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93B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00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2A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7AE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180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B73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635CA"/>
        </w:tc>
      </w:tr>
      <w:tr w14:paraId="501D9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5EBAC"/>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978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8492">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27996">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7B64">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8DA21">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C59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662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4D6E7"/>
        </w:tc>
      </w:tr>
      <w:tr w14:paraId="17305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DBC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DE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8DE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D5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C5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2C0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19A3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E06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8AD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70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ED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11478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23D2"/>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5B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D17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F2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到各地开展调研</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D6B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D2D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7CC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29B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735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ABA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828CD">
            <w:pPr>
              <w:jc w:val="center"/>
              <w:rPr>
                <w:rFonts w:hint="eastAsia" w:ascii="宋体" w:eastAsia="宋体" w:cs="宋体"/>
                <w:i w:val="0"/>
                <w:iCs w:val="0"/>
                <w:color w:val="000000"/>
                <w:sz w:val="20"/>
                <w:szCs w:val="20"/>
                <w:u w:val="none"/>
              </w:rPr>
            </w:pPr>
          </w:p>
        </w:tc>
      </w:tr>
      <w:tr w14:paraId="563B3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4F11F"/>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7E97"/>
        </w:tc>
        <w:tc>
          <w:tcPr>
            <w:tcW w:w="17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BB82E"/>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6B9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立项评审、中期推动、结项评审</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9B3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ACA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04F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AD5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3A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7A4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2521">
            <w:pPr>
              <w:jc w:val="center"/>
              <w:rPr>
                <w:rFonts w:hint="eastAsia" w:ascii="宋体" w:eastAsia="宋体" w:cs="宋体"/>
                <w:i w:val="0"/>
                <w:iCs w:val="0"/>
                <w:color w:val="000000"/>
                <w:sz w:val="20"/>
                <w:szCs w:val="20"/>
                <w:u w:val="none"/>
              </w:rPr>
            </w:pPr>
          </w:p>
        </w:tc>
      </w:tr>
      <w:tr w14:paraId="73B56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C3F25"/>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5E07"/>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E7D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时效指标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8E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经费保障时间</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1B3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B01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2FE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E09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DE9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7EC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6B684">
            <w:pPr>
              <w:jc w:val="center"/>
              <w:rPr>
                <w:rFonts w:hint="eastAsia" w:ascii="宋体" w:eastAsia="宋体" w:cs="宋体"/>
                <w:i w:val="0"/>
                <w:iCs w:val="0"/>
                <w:color w:val="000000"/>
                <w:sz w:val="20"/>
                <w:szCs w:val="20"/>
                <w:u w:val="none"/>
              </w:rPr>
            </w:pPr>
          </w:p>
        </w:tc>
      </w:tr>
      <w:tr w14:paraId="6D012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356B"/>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5A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76F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C9C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不断提升市域内社科人才研究能力水平，增强社科研究成果，为党委政府建设强大的智囊团，为市委政府提供更多具有决策参考价值的理论成果</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393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4B0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584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359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1B0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22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DA038">
            <w:pPr>
              <w:jc w:val="center"/>
              <w:rPr>
                <w:rFonts w:hint="eastAsia" w:ascii="宋体" w:eastAsia="宋体" w:cs="宋体"/>
                <w:i w:val="0"/>
                <w:iCs w:val="0"/>
                <w:color w:val="000000"/>
                <w:sz w:val="20"/>
                <w:szCs w:val="20"/>
                <w:u w:val="none"/>
              </w:rPr>
            </w:pPr>
          </w:p>
        </w:tc>
      </w:tr>
      <w:tr w14:paraId="0FE70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019A6"/>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2B8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12B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235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市民</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05D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FB2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30A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F79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603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D8B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194C">
            <w:pPr>
              <w:jc w:val="center"/>
              <w:rPr>
                <w:rFonts w:hint="eastAsia" w:ascii="宋体" w:eastAsia="宋体" w:cs="宋体"/>
                <w:i w:val="0"/>
                <w:iCs w:val="0"/>
                <w:color w:val="000000"/>
                <w:sz w:val="20"/>
                <w:szCs w:val="20"/>
                <w:u w:val="none"/>
              </w:rPr>
            </w:pPr>
          </w:p>
        </w:tc>
      </w:tr>
      <w:tr w14:paraId="4D0C3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1DA9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865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7CF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255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3D1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45A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8B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620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77B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60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07C62">
            <w:pPr>
              <w:jc w:val="center"/>
              <w:rPr>
                <w:rFonts w:hint="eastAsia" w:ascii="宋体" w:eastAsia="宋体" w:cs="宋体"/>
                <w:i w:val="0"/>
                <w:iCs w:val="0"/>
                <w:color w:val="000000"/>
                <w:sz w:val="20"/>
                <w:szCs w:val="20"/>
                <w:u w:val="none"/>
              </w:rPr>
            </w:pPr>
          </w:p>
        </w:tc>
      </w:tr>
      <w:tr w14:paraId="207D0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764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9F3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4B16">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AB09B">
            <w:pPr>
              <w:rPr>
                <w:rFonts w:hint="eastAsia" w:ascii="宋体" w:eastAsia="宋体" w:cs="宋体"/>
                <w:i w:val="0"/>
                <w:iCs w:val="0"/>
                <w:color w:val="000000"/>
                <w:sz w:val="20"/>
                <w:szCs w:val="20"/>
                <w:u w:val="none"/>
              </w:rPr>
            </w:pPr>
          </w:p>
        </w:tc>
      </w:tr>
      <w:tr w14:paraId="52952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C9F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599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年度课题研究项目围绕本地经济社会发展、社科理论创新、基层治理等重点领域，有序开展课题申报、立项、中期督导、结题评审等全流程工作，顺利完成年度课题立项、研究、结题既定目标。课题研究成果贴合地方发展实际，为相关部门决策提供了一定的理论支撑和实践参考，有效推动了本地社科研究水平提升、人才队伍建设，项目产出达标、效益显著，充分发挥了财政资金在社科研究领域的保障和引导作用。该项目自评总分90分。</w:t>
            </w:r>
          </w:p>
        </w:tc>
      </w:tr>
      <w:tr w14:paraId="065E7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440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7E54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课题研究质量参差不齐，部分课题研究深度不够，缺乏系统性、创新性，研究方法较为传统，成果转化意识薄弱，难以直接应用于实践工作。</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过程管理不够精细化，对课题研究的中期督导、进度管控不够严格，部分课题存在研究进度滞后、研究方向偏离等问题，结题审核把关的严谨性有待提升。</w:t>
            </w:r>
          </w:p>
        </w:tc>
      </w:tr>
      <w:tr w14:paraId="05000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8E2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3D25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强化课题质量管控，完善课题研究标准和评审规范，加强中期督导力度，定期开展研究进度核查、研究方向指导，严格结题审核流程，倒逼研究质量提升；鼓励采用创新研究方法，提升课题成果的创新性和科学性。</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细化过程管理流程，明确课题申报、立项、督导、结题各环节责任，建立健全课题管理台账，实行常态化跟踪管理，及时解决研究过程中出现的问题，确保课题按时保质完成。</w:t>
            </w:r>
          </w:p>
        </w:tc>
      </w:tr>
      <w:tr w14:paraId="3C036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nil"/>
              <w:left w:val="nil"/>
              <w:bottom w:val="nil"/>
              <w:right w:val="nil"/>
            </w:tcBorders>
            <w:shd w:val="clear" w:color="auto" w:fill="auto"/>
            <w:noWrap/>
            <w:vAlign w:val="center"/>
          </w:tcPr>
          <w:p w14:paraId="55F08740">
            <w:pPr>
              <w:rPr>
                <w:rFonts w:hint="eastAsia" w:ascii="宋体" w:eastAsia="宋体" w:cs="宋体"/>
                <w:i w:val="0"/>
                <w:iCs w:val="0"/>
                <w:color w:val="000000"/>
                <w:sz w:val="20"/>
                <w:szCs w:val="20"/>
                <w:u w:val="none"/>
              </w:rPr>
            </w:pPr>
          </w:p>
        </w:tc>
        <w:tc>
          <w:tcPr>
            <w:tcW w:w="1590" w:type="dxa"/>
            <w:gridSpan w:val="2"/>
            <w:tcBorders>
              <w:top w:val="nil"/>
              <w:left w:val="nil"/>
              <w:bottom w:val="nil"/>
              <w:right w:val="nil"/>
            </w:tcBorders>
            <w:shd w:val="clear" w:color="auto" w:fill="auto"/>
            <w:noWrap/>
            <w:vAlign w:val="center"/>
          </w:tcPr>
          <w:p w14:paraId="54DF6A52">
            <w:pPr>
              <w:rPr>
                <w:rFonts w:hint="eastAsia" w:ascii="宋体" w:eastAsia="宋体" w:cs="宋体"/>
                <w:i w:val="0"/>
                <w:iCs w:val="0"/>
                <w:color w:val="000000"/>
                <w:sz w:val="20"/>
                <w:szCs w:val="20"/>
                <w:u w:val="none"/>
              </w:rPr>
            </w:pPr>
          </w:p>
        </w:tc>
        <w:tc>
          <w:tcPr>
            <w:tcW w:w="1770" w:type="dxa"/>
            <w:gridSpan w:val="2"/>
            <w:tcBorders>
              <w:top w:val="nil"/>
              <w:left w:val="nil"/>
              <w:bottom w:val="nil"/>
              <w:right w:val="nil"/>
            </w:tcBorders>
            <w:shd w:val="clear" w:color="auto" w:fill="auto"/>
            <w:noWrap/>
            <w:vAlign w:val="center"/>
          </w:tcPr>
          <w:p w14:paraId="468AD322">
            <w:pPr>
              <w:rPr>
                <w:rFonts w:hint="eastAsia" w:ascii="宋体" w:eastAsia="宋体" w:cs="宋体"/>
                <w:i w:val="0"/>
                <w:iCs w:val="0"/>
                <w:color w:val="000000"/>
                <w:sz w:val="20"/>
                <w:szCs w:val="20"/>
                <w:u w:val="none"/>
              </w:rPr>
            </w:pPr>
          </w:p>
        </w:tc>
        <w:tc>
          <w:tcPr>
            <w:tcW w:w="2265" w:type="dxa"/>
            <w:gridSpan w:val="2"/>
            <w:tcBorders>
              <w:top w:val="nil"/>
              <w:left w:val="nil"/>
              <w:bottom w:val="nil"/>
              <w:right w:val="nil"/>
            </w:tcBorders>
            <w:shd w:val="clear" w:color="auto" w:fill="auto"/>
            <w:noWrap/>
            <w:vAlign w:val="center"/>
          </w:tcPr>
          <w:p w14:paraId="550B9D84">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27D2CBFB">
            <w:pPr>
              <w:rPr>
                <w:rFonts w:hint="eastAsia" w:ascii="宋体" w:eastAsia="宋体" w:cs="宋体"/>
                <w:i w:val="0"/>
                <w:iCs w:val="0"/>
                <w:color w:val="000000"/>
                <w:sz w:val="20"/>
                <w:szCs w:val="20"/>
                <w:u w:val="none"/>
              </w:rPr>
            </w:pPr>
          </w:p>
        </w:tc>
        <w:tc>
          <w:tcPr>
            <w:tcW w:w="1200" w:type="dxa"/>
            <w:gridSpan w:val="2"/>
            <w:tcBorders>
              <w:top w:val="nil"/>
              <w:left w:val="nil"/>
              <w:bottom w:val="nil"/>
              <w:right w:val="nil"/>
            </w:tcBorders>
            <w:shd w:val="clear" w:color="auto" w:fill="auto"/>
            <w:noWrap/>
            <w:vAlign w:val="center"/>
          </w:tcPr>
          <w:p w14:paraId="14A8D79C">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00953A90">
            <w:pPr>
              <w:rPr>
                <w:rFonts w:hint="eastAsia" w:ascii="宋体" w:eastAsia="宋体" w:cs="宋体"/>
                <w:i w:val="0"/>
                <w:iCs w:val="0"/>
                <w:color w:val="000000"/>
                <w:sz w:val="20"/>
                <w:szCs w:val="20"/>
                <w:u w:val="none"/>
              </w:rPr>
            </w:pPr>
          </w:p>
        </w:tc>
        <w:tc>
          <w:tcPr>
            <w:tcW w:w="1095" w:type="dxa"/>
            <w:gridSpan w:val="2"/>
            <w:tcBorders>
              <w:top w:val="nil"/>
              <w:left w:val="nil"/>
              <w:bottom w:val="nil"/>
              <w:right w:val="nil"/>
            </w:tcBorders>
            <w:shd w:val="clear" w:color="auto" w:fill="auto"/>
            <w:noWrap/>
            <w:vAlign w:val="center"/>
          </w:tcPr>
          <w:p w14:paraId="5C93C100">
            <w:pPr>
              <w:rPr>
                <w:rFonts w:hint="eastAsia" w:ascii="宋体" w:eastAsia="宋体" w:cs="宋体"/>
                <w:i w:val="0"/>
                <w:iCs w:val="0"/>
                <w:color w:val="000000"/>
                <w:sz w:val="20"/>
                <w:szCs w:val="20"/>
                <w:u w:val="none"/>
              </w:rPr>
            </w:pPr>
          </w:p>
        </w:tc>
        <w:tc>
          <w:tcPr>
            <w:tcW w:w="510" w:type="dxa"/>
            <w:gridSpan w:val="2"/>
            <w:tcBorders>
              <w:top w:val="nil"/>
              <w:left w:val="nil"/>
              <w:bottom w:val="nil"/>
              <w:right w:val="nil"/>
            </w:tcBorders>
            <w:shd w:val="clear" w:color="auto" w:fill="auto"/>
            <w:noWrap/>
            <w:vAlign w:val="center"/>
          </w:tcPr>
          <w:p w14:paraId="66C134C4">
            <w:pPr>
              <w:rPr>
                <w:rFonts w:hint="eastAsia" w:ascii="宋体" w:eastAsia="宋体" w:cs="宋体"/>
                <w:i w:val="0"/>
                <w:iCs w:val="0"/>
                <w:color w:val="000000"/>
                <w:sz w:val="20"/>
                <w:szCs w:val="20"/>
                <w:u w:val="none"/>
              </w:rPr>
            </w:pPr>
          </w:p>
        </w:tc>
        <w:tc>
          <w:tcPr>
            <w:tcW w:w="450" w:type="dxa"/>
            <w:tcBorders>
              <w:top w:val="nil"/>
              <w:left w:val="nil"/>
              <w:bottom w:val="nil"/>
              <w:right w:val="nil"/>
            </w:tcBorders>
            <w:shd w:val="clear" w:color="auto" w:fill="auto"/>
            <w:noWrap/>
            <w:vAlign w:val="center"/>
          </w:tcPr>
          <w:p w14:paraId="4B0BCEE7">
            <w:pPr>
              <w:rPr>
                <w:rFonts w:hint="eastAsia" w:ascii="宋体" w:eastAsia="宋体" w:cs="宋体"/>
                <w:i w:val="0"/>
                <w:iCs w:val="0"/>
                <w:color w:val="000000"/>
                <w:sz w:val="20"/>
                <w:szCs w:val="20"/>
                <w:u w:val="none"/>
              </w:rPr>
            </w:pPr>
          </w:p>
        </w:tc>
        <w:tc>
          <w:tcPr>
            <w:tcW w:w="2145" w:type="dxa"/>
            <w:gridSpan w:val="2"/>
            <w:tcBorders>
              <w:top w:val="nil"/>
              <w:left w:val="nil"/>
              <w:bottom w:val="nil"/>
              <w:right w:val="nil"/>
            </w:tcBorders>
            <w:shd w:val="clear" w:color="auto" w:fill="auto"/>
            <w:noWrap/>
            <w:vAlign w:val="center"/>
          </w:tcPr>
          <w:p w14:paraId="2C68F447">
            <w:pPr>
              <w:rPr>
                <w:rFonts w:hint="eastAsia" w:ascii="宋体" w:eastAsia="宋体" w:cs="宋体"/>
                <w:i w:val="0"/>
                <w:iCs w:val="0"/>
                <w:color w:val="000000"/>
                <w:sz w:val="20"/>
                <w:szCs w:val="20"/>
                <w:u w:val="none"/>
              </w:rPr>
            </w:pPr>
          </w:p>
        </w:tc>
      </w:tr>
      <w:tr w14:paraId="79A76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CD77">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1A2AC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9D7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B23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51190025T000013173823-2025年年初部门预算特定目标类项目203005市社科联社科普及经费</w:t>
            </w:r>
          </w:p>
        </w:tc>
      </w:tr>
      <w:tr w14:paraId="41884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C018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C49C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79D0E64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DBF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巴中市社会科学界联合会</w:t>
            </w:r>
          </w:p>
        </w:tc>
      </w:tr>
      <w:tr w14:paraId="4E406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08F4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83B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719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C0B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1B7DD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C8D70"/>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7D7C5"/>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417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目标1:提升全社会对社会科学的知晓度，让高深理论落入百姓家，加强社科不同领域、不同专业的交流合。</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目标2:开展各类社会科学普及宣传活动。</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目标3：完成社科基地提档升级，省级社科基地命名；制作展板、专栏、专题片等及社科普及读本。</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目标4:网站、微信号、抖音号运营维护.</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D9B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全部完成</w:t>
            </w:r>
          </w:p>
        </w:tc>
      </w:tr>
      <w:tr w14:paraId="0D8E4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25AA4"/>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EF0C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D22B3">
            <w:pPr>
              <w:rPr>
                <w:rFonts w:hint="eastAsia" w:ascii="宋体" w:eastAsia="宋体" w:cs="宋体"/>
                <w:i w:val="0"/>
                <w:iCs w:val="0"/>
                <w:color w:val="000000"/>
                <w:sz w:val="20"/>
                <w:szCs w:val="20"/>
                <w:u w:val="none"/>
              </w:rPr>
            </w:pPr>
          </w:p>
        </w:tc>
      </w:tr>
      <w:tr w14:paraId="7F547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07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76E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059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616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C7F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946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286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620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B96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955D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96A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517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474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CF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CF1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D44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17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E5F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C657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1CFA8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EC690"/>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3AF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EC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A86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982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F41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E1C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55D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E084"/>
        </w:tc>
      </w:tr>
      <w:tr w14:paraId="3D9D8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F4C6"/>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408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670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DF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2A5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E6F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F52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76A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E1E2B"/>
        </w:tc>
      </w:tr>
      <w:tr w14:paraId="196A1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7743A"/>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FDD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E2DF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117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2E1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2A4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41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34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E403B"/>
        </w:tc>
      </w:tr>
      <w:tr w14:paraId="71FB4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E41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1A5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1A9A4">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25639">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0ACF4">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CD8C">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7B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E0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C2911"/>
        </w:tc>
      </w:tr>
      <w:tr w14:paraId="48B6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D87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AB2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404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3C4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E2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DA7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167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478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0C3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34E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C95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55ADF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E3D7B"/>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B9F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D9C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312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专题专栏宣传进社区</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A1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054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65B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998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C3A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2D8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1324F">
            <w:pPr>
              <w:jc w:val="center"/>
              <w:rPr>
                <w:rFonts w:hint="eastAsia" w:ascii="宋体" w:eastAsia="宋体" w:cs="宋体"/>
                <w:i w:val="0"/>
                <w:iCs w:val="0"/>
                <w:color w:val="000000"/>
                <w:sz w:val="20"/>
                <w:szCs w:val="20"/>
                <w:u w:val="none"/>
              </w:rPr>
            </w:pPr>
          </w:p>
        </w:tc>
      </w:tr>
      <w:tr w14:paraId="146DC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DB52B"/>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85697"/>
        </w:tc>
        <w:tc>
          <w:tcPr>
            <w:tcW w:w="17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A9C32"/>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39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社会科学普及宣传活动</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077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661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293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39A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C30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FBB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F44D6">
            <w:pPr>
              <w:jc w:val="center"/>
              <w:rPr>
                <w:rFonts w:hint="eastAsia" w:ascii="宋体" w:eastAsia="宋体" w:cs="宋体"/>
                <w:i w:val="0"/>
                <w:iCs w:val="0"/>
                <w:color w:val="000000"/>
                <w:sz w:val="20"/>
                <w:szCs w:val="20"/>
                <w:u w:val="none"/>
              </w:rPr>
            </w:pPr>
          </w:p>
        </w:tc>
      </w:tr>
      <w:tr w14:paraId="19A6F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EB28B"/>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68C3F"/>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D47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时效指标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3C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经费保障时间</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BD1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B52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535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D8F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68C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BFF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628CC">
            <w:pPr>
              <w:jc w:val="center"/>
              <w:rPr>
                <w:rFonts w:hint="eastAsia" w:ascii="宋体" w:eastAsia="宋体" w:cs="宋体"/>
                <w:i w:val="0"/>
                <w:iCs w:val="0"/>
                <w:color w:val="000000"/>
                <w:sz w:val="20"/>
                <w:szCs w:val="20"/>
                <w:u w:val="none"/>
              </w:rPr>
            </w:pPr>
          </w:p>
        </w:tc>
      </w:tr>
      <w:tr w14:paraId="26EE9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E30BB"/>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78D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D9E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C3B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拓宽社会科学普及范围、实现社会科学普及服务基层；有利于提高人们的科学文化素养</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F52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AAD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9D6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4D0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0E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D57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26BB0">
            <w:pPr>
              <w:jc w:val="center"/>
              <w:rPr>
                <w:rFonts w:hint="eastAsia" w:ascii="宋体" w:eastAsia="宋体" w:cs="宋体"/>
                <w:i w:val="0"/>
                <w:iCs w:val="0"/>
                <w:color w:val="000000"/>
                <w:sz w:val="20"/>
                <w:szCs w:val="20"/>
                <w:u w:val="none"/>
              </w:rPr>
            </w:pPr>
          </w:p>
        </w:tc>
      </w:tr>
      <w:tr w14:paraId="4FA38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90AB4"/>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F1EF0"/>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C29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可持续影响指标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09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持续提高人们的科学文化素养</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AC8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DE4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更好</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BA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BDF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更好</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BC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828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AEB29">
            <w:pPr>
              <w:jc w:val="center"/>
              <w:rPr>
                <w:rFonts w:hint="eastAsia" w:ascii="宋体" w:eastAsia="宋体" w:cs="宋体"/>
                <w:i w:val="0"/>
                <w:iCs w:val="0"/>
                <w:color w:val="000000"/>
                <w:sz w:val="20"/>
                <w:szCs w:val="20"/>
                <w:u w:val="none"/>
              </w:rPr>
            </w:pPr>
          </w:p>
        </w:tc>
      </w:tr>
      <w:tr w14:paraId="24B8E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CE21"/>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98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BA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29A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市民</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0E1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B9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3EC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A40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393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FE2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1271B">
            <w:pPr>
              <w:jc w:val="center"/>
              <w:rPr>
                <w:rFonts w:hint="eastAsia" w:ascii="宋体" w:eastAsia="宋体" w:cs="宋体"/>
                <w:i w:val="0"/>
                <w:iCs w:val="0"/>
                <w:color w:val="000000"/>
                <w:sz w:val="20"/>
                <w:szCs w:val="20"/>
                <w:u w:val="none"/>
              </w:rPr>
            </w:pPr>
          </w:p>
        </w:tc>
      </w:tr>
      <w:tr w14:paraId="3FB7D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7EE27"/>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065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CD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8A6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CB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2E3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05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24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A3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CDB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C618">
            <w:pPr>
              <w:jc w:val="center"/>
              <w:rPr>
                <w:rFonts w:hint="eastAsia" w:ascii="宋体" w:eastAsia="宋体" w:cs="宋体"/>
                <w:i w:val="0"/>
                <w:iCs w:val="0"/>
                <w:color w:val="000000"/>
                <w:sz w:val="20"/>
                <w:szCs w:val="20"/>
                <w:u w:val="none"/>
              </w:rPr>
            </w:pPr>
          </w:p>
        </w:tc>
      </w:tr>
      <w:tr w14:paraId="5CB2C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C88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AF8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27D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7E74B">
            <w:pPr>
              <w:rPr>
                <w:rFonts w:hint="eastAsia" w:ascii="宋体" w:eastAsia="宋体" w:cs="宋体"/>
                <w:i w:val="0"/>
                <w:iCs w:val="0"/>
                <w:color w:val="000000"/>
                <w:sz w:val="20"/>
                <w:szCs w:val="20"/>
                <w:u w:val="none"/>
              </w:rPr>
            </w:pPr>
          </w:p>
        </w:tc>
      </w:tr>
      <w:tr w14:paraId="3FCED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90A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C37D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项目围绕社科知识普及、人文素养提升、政策解读传播等核心目标，扎实开展社科宣讲、科普展览、读物发放、新媒体科普等各类活动，覆盖机关、学校、社区、乡村等重点群体，有效传播了科学的社科理论、政策知识和人文理念。项目圆满完成年度既定普及任务，显著提升了群众社科素养，增强了社科知识的知晓度和影响力，助力营造全社会重视社科、学习社科的良好氛围，财政资金使用效能充分发挥，项目产出和社会效益均达到预期目标。该项目自评总分90分。</w:t>
            </w:r>
          </w:p>
        </w:tc>
      </w:tr>
      <w:tr w14:paraId="1FFDE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A5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05D9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科普内容针对性不足，未能充分结合不同群体（青少年、老年人、基层群众）的需求差异，内容设计同质化严重，贴合群众生产生活的实用型科普内容偏少。                                                          科普成果长效性不足，科普活动多为阶段性开展，缺乏常态化、制度化的科普机制，活动结束后后续跟踪宣传、效果巩固不够，科普成效难以持续体现</w:t>
            </w:r>
          </w:p>
        </w:tc>
      </w:tr>
      <w:tr w14:paraId="65039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3EF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4A2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精准对接群众需求,开展科普需求调研,针对不同群体的认知特点和实际需求,定制差异化科普内容,增加贴合基层群众生产生活、政策解读、权益保障等实用型科普内容,提升科普针对性。          健全科普长效机制,建立常态化科普工作制度,定期开展科普活动,加强科普成果的后续宣传和效果跟踪,推动科普知识融入日常,持续巩固科普成效,扩大社科普及的社会影响力。</w:t>
            </w:r>
          </w:p>
        </w:tc>
      </w:tr>
      <w:tr w14:paraId="0009D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4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525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项目负责人：何晓利</w:t>
            </w:r>
          </w:p>
        </w:tc>
        <w:tc>
          <w:tcPr>
            <w:tcW w:w="592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154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财务负责人：冯一鸣</w:t>
            </w:r>
          </w:p>
        </w:tc>
      </w:tr>
      <w:tr w14:paraId="1D913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0FB73">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054DE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5704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C3EF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51190025T000013198296-2025年年初部门预算特定目标类项目203003市文联陈智林大师何学斌老师工作室经费</w:t>
            </w:r>
          </w:p>
        </w:tc>
      </w:tr>
      <w:tr w14:paraId="47745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83EE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8977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11FEB40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6BC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巴中市文学艺术界联合会</w:t>
            </w:r>
          </w:p>
        </w:tc>
      </w:tr>
      <w:tr w14:paraId="5E3FA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7BA8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92DB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0B8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38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09934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D33EF"/>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B4189"/>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E21A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目标1：构建培养人才梯队。发挥工作室传帮带作用，努力将骨干成员培育成为全省全国相关文艺领域有一定知名度和影响力的文艺工作者，培养一批带不走的文艺人才，为文艺事业发展奠定坚实的人才基础</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目标2：组织文艺精品创作。带领骨干创作人员，聚焦文艺精品创作，努力创作生产思想精深、艺术精湛、制作精良的优秀文艺作品，筑牢巴中文艺高原，勇攀文艺创作高峰。</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目标3：开展重大课题攻关。聚焦“一市四区三地”建设、重点围绕全市丰富人文资源、重大历史题材、现实题材等，加强全局性、前瞻性、储备性研究和策划，推出有高度、有价值、有情怀的重大创作课题研究成果。</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2284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加快推进全市文艺事业繁荣发展，充分发挥文艺名家的示范、引领和带动作用，加大本土文艺人才培养和文艺精品创作生产力度；培养一批带不走的文艺人才，为文艺事业发展奠定坚实的人才基础；创作生产了一批思想精深、艺术精湛、制作精良的优秀文艺作品。</w:t>
            </w:r>
          </w:p>
        </w:tc>
      </w:tr>
      <w:tr w14:paraId="6A362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AFE15"/>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D36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B750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依托大师、名家工作室优势开展了优秀文艺人才跨界融合·书法艺术专题采风创作活动暨第七期“大巴山文艺讲堂；通过大师、名家工作室引领示范作用并结合省川剧院在文艺创作、人才汇聚、传承弘扬、创新发展、交流推广等方面所具备的独特优势，开展 “川剧小戏” 创作活动</w:t>
            </w:r>
          </w:p>
        </w:tc>
      </w:tr>
      <w:tr w14:paraId="1E8A8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3C5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1A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3E8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D75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B30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D38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C29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88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0CC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1346F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5B04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E85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094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C03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47.05</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080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47.05</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9E8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FB9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AA1DE">
            <w:pPr>
              <w:jc w:val="center"/>
              <w:rPr>
                <w:rFonts w:hint="eastAsia" w:ascii="宋体" w:eastAsia="宋体" w:cs="宋体"/>
                <w:i w:val="0"/>
                <w:iCs w:val="0"/>
                <w:color w:val="000000"/>
                <w:sz w:val="20"/>
                <w:szCs w:val="20"/>
                <w:u w:val="none"/>
              </w:rPr>
            </w:pP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3AE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0F648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EEC1B"/>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AA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8D8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21D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47.05</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454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47.05</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1F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E9C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AA4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E381F"/>
        </w:tc>
      </w:tr>
      <w:tr w14:paraId="7D709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4DEC"/>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852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B0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B93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9D9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718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365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B3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6C961"/>
        </w:tc>
      </w:tr>
      <w:tr w14:paraId="0AA3F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0EBA"/>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D75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7F9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2A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A5B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446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85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DA5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9497"/>
        </w:tc>
      </w:tr>
      <w:tr w14:paraId="75BEA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BA296"/>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69D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0392B">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494C">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C81EF">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BD297">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629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AEE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6B6E"/>
        </w:tc>
      </w:tr>
      <w:tr w14:paraId="16AF9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DEA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A22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2E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199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8B9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AA6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E96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AEC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8ED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098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E06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47B21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59CF8"/>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DEA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4E5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585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以工作室年度创作作品为主，结合课题讲座、创作采风开展、课题研究结题、完成交办任务和作品刊发、获奖等情况</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A96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025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E3C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AB8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C4B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AA6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39</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EBB85">
            <w:pPr>
              <w:jc w:val="center"/>
              <w:rPr>
                <w:rFonts w:hint="eastAsia" w:ascii="宋体" w:eastAsia="宋体" w:cs="宋体"/>
                <w:i w:val="0"/>
                <w:iCs w:val="0"/>
                <w:color w:val="000000"/>
                <w:sz w:val="20"/>
                <w:szCs w:val="20"/>
                <w:u w:val="none"/>
              </w:rPr>
            </w:pPr>
          </w:p>
        </w:tc>
      </w:tr>
      <w:tr w14:paraId="6BB15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354B6"/>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B05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29B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656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构建培养人才梯队，组织文艺精品创作</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906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086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6ED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幅</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29C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180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20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603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28</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69436">
            <w:pPr>
              <w:jc w:val="center"/>
              <w:rPr>
                <w:rFonts w:hint="eastAsia" w:ascii="宋体" w:eastAsia="宋体" w:cs="宋体"/>
                <w:i w:val="0"/>
                <w:iCs w:val="0"/>
                <w:color w:val="000000"/>
                <w:sz w:val="20"/>
                <w:szCs w:val="20"/>
                <w:u w:val="none"/>
              </w:rPr>
            </w:pPr>
          </w:p>
        </w:tc>
      </w:tr>
      <w:tr w14:paraId="30F91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62903"/>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BF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FBD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D90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广大文艺工作者、文艺爱好者</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18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1BC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C81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ADF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C75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23C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F6AAF">
            <w:pPr>
              <w:jc w:val="center"/>
              <w:rPr>
                <w:rFonts w:hint="eastAsia" w:ascii="宋体" w:eastAsia="宋体" w:cs="宋体"/>
                <w:i w:val="0"/>
                <w:iCs w:val="0"/>
                <w:color w:val="000000"/>
                <w:sz w:val="20"/>
                <w:szCs w:val="20"/>
                <w:u w:val="none"/>
              </w:rPr>
            </w:pPr>
          </w:p>
        </w:tc>
      </w:tr>
      <w:tr w14:paraId="3351B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50556"/>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952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4D6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58B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日常办公经费，采风创作经费，作品研讨，成果推介</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26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1D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470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1E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47.05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5B9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6FE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9F022">
            <w:pPr>
              <w:jc w:val="center"/>
              <w:rPr>
                <w:rFonts w:hint="eastAsia" w:ascii="宋体" w:eastAsia="宋体" w:cs="宋体"/>
                <w:i w:val="0"/>
                <w:iCs w:val="0"/>
                <w:color w:val="000000"/>
                <w:sz w:val="20"/>
                <w:szCs w:val="20"/>
                <w:u w:val="none"/>
              </w:rPr>
            </w:pPr>
          </w:p>
        </w:tc>
      </w:tr>
      <w:tr w14:paraId="60A07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19D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CFE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648D8">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96.5</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5BC17">
            <w:pPr>
              <w:rPr>
                <w:rFonts w:hint="eastAsia" w:ascii="宋体" w:eastAsia="宋体" w:cs="宋体"/>
                <w:i w:val="0"/>
                <w:iCs w:val="0"/>
                <w:color w:val="000000"/>
                <w:sz w:val="20"/>
                <w:szCs w:val="20"/>
                <w:u w:val="none"/>
              </w:rPr>
            </w:pPr>
          </w:p>
        </w:tc>
      </w:tr>
      <w:tr w14:paraId="780F2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EA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8753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加快推进了全市文艺事业繁荣发展，充分发挥文艺名家的示范、引领和带动作用，加大本土文艺人才培养和文艺精品创作生产力度；培养了一批带不走的文艺人才，为文艺事业发展奠定坚实的人才基础；创作生产了一批思想精深、艺术精湛、制作精良的优秀文艺作品。</w:t>
            </w:r>
          </w:p>
        </w:tc>
      </w:tr>
      <w:tr w14:paraId="198EA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E2A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8A9F8">
            <w:pPr>
              <w:rPr>
                <w:rFonts w:hint="eastAsia" w:ascii="宋体" w:eastAsia="宋体" w:cs="宋体"/>
                <w:i w:val="0"/>
                <w:iCs w:val="0"/>
                <w:color w:val="000000"/>
                <w:sz w:val="20"/>
                <w:szCs w:val="20"/>
                <w:u w:val="none"/>
              </w:rPr>
            </w:pPr>
          </w:p>
        </w:tc>
      </w:tr>
      <w:tr w14:paraId="0CEBE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799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E281">
            <w:pPr>
              <w:rPr>
                <w:rFonts w:hint="eastAsia" w:ascii="宋体" w:eastAsia="宋体" w:cs="宋体"/>
                <w:i w:val="0"/>
                <w:iCs w:val="0"/>
                <w:color w:val="000000"/>
                <w:sz w:val="20"/>
                <w:szCs w:val="20"/>
                <w:u w:val="none"/>
              </w:rPr>
            </w:pPr>
          </w:p>
        </w:tc>
      </w:tr>
      <w:tr w14:paraId="4B83D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nil"/>
              <w:left w:val="nil"/>
              <w:bottom w:val="nil"/>
              <w:right w:val="nil"/>
            </w:tcBorders>
            <w:shd w:val="clear" w:color="auto" w:fill="auto"/>
            <w:noWrap/>
            <w:vAlign w:val="center"/>
          </w:tcPr>
          <w:p w14:paraId="147F13D2">
            <w:pPr>
              <w:rPr>
                <w:rFonts w:hint="eastAsia" w:ascii="宋体" w:eastAsia="宋体" w:cs="宋体"/>
                <w:i w:val="0"/>
                <w:iCs w:val="0"/>
                <w:color w:val="000000"/>
                <w:sz w:val="20"/>
                <w:szCs w:val="20"/>
                <w:u w:val="none"/>
              </w:rPr>
            </w:pPr>
          </w:p>
        </w:tc>
        <w:tc>
          <w:tcPr>
            <w:tcW w:w="1590" w:type="dxa"/>
            <w:gridSpan w:val="2"/>
            <w:tcBorders>
              <w:top w:val="nil"/>
              <w:left w:val="nil"/>
              <w:bottom w:val="nil"/>
              <w:right w:val="nil"/>
            </w:tcBorders>
            <w:shd w:val="clear" w:color="auto" w:fill="auto"/>
            <w:noWrap/>
            <w:vAlign w:val="center"/>
          </w:tcPr>
          <w:p w14:paraId="4E7258D7">
            <w:pPr>
              <w:rPr>
                <w:rFonts w:hint="eastAsia" w:ascii="宋体" w:eastAsia="宋体" w:cs="宋体"/>
                <w:i w:val="0"/>
                <w:iCs w:val="0"/>
                <w:color w:val="000000"/>
                <w:sz w:val="20"/>
                <w:szCs w:val="20"/>
                <w:u w:val="none"/>
              </w:rPr>
            </w:pPr>
          </w:p>
        </w:tc>
        <w:tc>
          <w:tcPr>
            <w:tcW w:w="1770" w:type="dxa"/>
            <w:gridSpan w:val="2"/>
            <w:tcBorders>
              <w:top w:val="nil"/>
              <w:left w:val="nil"/>
              <w:bottom w:val="nil"/>
              <w:right w:val="nil"/>
            </w:tcBorders>
            <w:shd w:val="clear" w:color="auto" w:fill="auto"/>
            <w:noWrap/>
            <w:vAlign w:val="center"/>
          </w:tcPr>
          <w:p w14:paraId="491EA6D8">
            <w:pPr>
              <w:rPr>
                <w:rFonts w:hint="eastAsia" w:ascii="宋体" w:eastAsia="宋体" w:cs="宋体"/>
                <w:i w:val="0"/>
                <w:iCs w:val="0"/>
                <w:color w:val="000000"/>
                <w:sz w:val="20"/>
                <w:szCs w:val="20"/>
                <w:u w:val="none"/>
              </w:rPr>
            </w:pPr>
          </w:p>
        </w:tc>
        <w:tc>
          <w:tcPr>
            <w:tcW w:w="2265" w:type="dxa"/>
            <w:gridSpan w:val="2"/>
            <w:tcBorders>
              <w:top w:val="nil"/>
              <w:left w:val="nil"/>
              <w:bottom w:val="nil"/>
              <w:right w:val="nil"/>
            </w:tcBorders>
            <w:shd w:val="clear" w:color="auto" w:fill="auto"/>
            <w:noWrap/>
            <w:vAlign w:val="center"/>
          </w:tcPr>
          <w:p w14:paraId="32360601">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7B2C0A4E">
            <w:pPr>
              <w:rPr>
                <w:rFonts w:hint="eastAsia" w:ascii="宋体" w:eastAsia="宋体" w:cs="宋体"/>
                <w:i w:val="0"/>
                <w:iCs w:val="0"/>
                <w:color w:val="000000"/>
                <w:sz w:val="20"/>
                <w:szCs w:val="20"/>
                <w:u w:val="none"/>
              </w:rPr>
            </w:pPr>
          </w:p>
        </w:tc>
        <w:tc>
          <w:tcPr>
            <w:tcW w:w="1200" w:type="dxa"/>
            <w:gridSpan w:val="2"/>
            <w:tcBorders>
              <w:top w:val="nil"/>
              <w:left w:val="nil"/>
              <w:bottom w:val="nil"/>
              <w:right w:val="nil"/>
            </w:tcBorders>
            <w:shd w:val="clear" w:color="auto" w:fill="auto"/>
            <w:noWrap/>
            <w:vAlign w:val="center"/>
          </w:tcPr>
          <w:p w14:paraId="5FCBDF9E">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6D76F143">
            <w:pPr>
              <w:rPr>
                <w:rFonts w:hint="eastAsia" w:ascii="宋体" w:eastAsia="宋体" w:cs="宋体"/>
                <w:i w:val="0"/>
                <w:iCs w:val="0"/>
                <w:color w:val="000000"/>
                <w:sz w:val="20"/>
                <w:szCs w:val="20"/>
                <w:u w:val="none"/>
              </w:rPr>
            </w:pPr>
          </w:p>
        </w:tc>
        <w:tc>
          <w:tcPr>
            <w:tcW w:w="1095" w:type="dxa"/>
            <w:gridSpan w:val="2"/>
            <w:tcBorders>
              <w:top w:val="nil"/>
              <w:left w:val="nil"/>
              <w:bottom w:val="nil"/>
              <w:right w:val="nil"/>
            </w:tcBorders>
            <w:shd w:val="clear" w:color="auto" w:fill="auto"/>
            <w:noWrap/>
            <w:vAlign w:val="center"/>
          </w:tcPr>
          <w:p w14:paraId="697F298A">
            <w:pPr>
              <w:rPr>
                <w:rFonts w:hint="eastAsia" w:ascii="宋体" w:eastAsia="宋体" w:cs="宋体"/>
                <w:i w:val="0"/>
                <w:iCs w:val="0"/>
                <w:color w:val="000000"/>
                <w:sz w:val="20"/>
                <w:szCs w:val="20"/>
                <w:u w:val="none"/>
              </w:rPr>
            </w:pPr>
          </w:p>
        </w:tc>
        <w:tc>
          <w:tcPr>
            <w:tcW w:w="510" w:type="dxa"/>
            <w:gridSpan w:val="2"/>
            <w:tcBorders>
              <w:top w:val="nil"/>
              <w:left w:val="nil"/>
              <w:bottom w:val="nil"/>
              <w:right w:val="nil"/>
            </w:tcBorders>
            <w:shd w:val="clear" w:color="auto" w:fill="auto"/>
            <w:noWrap/>
            <w:vAlign w:val="center"/>
          </w:tcPr>
          <w:p w14:paraId="27925E65">
            <w:pPr>
              <w:rPr>
                <w:rFonts w:hint="eastAsia" w:ascii="宋体" w:eastAsia="宋体" w:cs="宋体"/>
                <w:i w:val="0"/>
                <w:iCs w:val="0"/>
                <w:color w:val="000000"/>
                <w:sz w:val="20"/>
                <w:szCs w:val="20"/>
                <w:u w:val="none"/>
              </w:rPr>
            </w:pPr>
          </w:p>
        </w:tc>
        <w:tc>
          <w:tcPr>
            <w:tcW w:w="450" w:type="dxa"/>
            <w:tcBorders>
              <w:top w:val="nil"/>
              <w:left w:val="nil"/>
              <w:bottom w:val="nil"/>
              <w:right w:val="nil"/>
            </w:tcBorders>
            <w:shd w:val="clear" w:color="auto" w:fill="auto"/>
            <w:noWrap/>
            <w:vAlign w:val="center"/>
          </w:tcPr>
          <w:p w14:paraId="6FB1AD67">
            <w:pPr>
              <w:rPr>
                <w:rFonts w:hint="eastAsia" w:ascii="宋体" w:eastAsia="宋体" w:cs="宋体"/>
                <w:i w:val="0"/>
                <w:iCs w:val="0"/>
                <w:color w:val="000000"/>
                <w:sz w:val="20"/>
                <w:szCs w:val="20"/>
                <w:u w:val="none"/>
              </w:rPr>
            </w:pPr>
          </w:p>
        </w:tc>
        <w:tc>
          <w:tcPr>
            <w:tcW w:w="2145" w:type="dxa"/>
            <w:gridSpan w:val="2"/>
            <w:tcBorders>
              <w:top w:val="nil"/>
              <w:left w:val="nil"/>
              <w:bottom w:val="nil"/>
              <w:right w:val="nil"/>
            </w:tcBorders>
            <w:shd w:val="clear" w:color="auto" w:fill="auto"/>
            <w:noWrap/>
            <w:vAlign w:val="center"/>
          </w:tcPr>
          <w:p w14:paraId="39CEE883">
            <w:pPr>
              <w:rPr>
                <w:rFonts w:hint="eastAsia" w:ascii="宋体" w:eastAsia="宋体" w:cs="宋体"/>
                <w:i w:val="0"/>
                <w:iCs w:val="0"/>
                <w:color w:val="000000"/>
                <w:sz w:val="20"/>
                <w:szCs w:val="20"/>
                <w:u w:val="none"/>
              </w:rPr>
            </w:pPr>
          </w:p>
        </w:tc>
      </w:tr>
      <w:tr w14:paraId="026DB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EBC7C">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00CC8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B34B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9A3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51190025T000013198305-2025年年初部门预算特定目标类项目203003市文联文艺培训，文艺采风、交流活动经费</w:t>
            </w:r>
          </w:p>
        </w:tc>
      </w:tr>
      <w:tr w14:paraId="7FD6E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8497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5489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78538CF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D80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巴中市文学艺术界联合会</w:t>
            </w:r>
          </w:p>
        </w:tc>
      </w:tr>
      <w:tr w14:paraId="7C7D0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9FE3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1949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32D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909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76D8A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5C044"/>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2EC7"/>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0E40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目标1：通过文艺系列文艺培训培养一支巴中优秀文艺队伍，打造一批文艺领军人才，促进巴中文艺事业更好更快地发展</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目标2：通过对外文艺交流，解决巴中文艺“低端供给过剩与中高端供给不足并存，文化产品有数量、缺质量，有‘高原’缺‘高峰’，文艺作品“好不好、精不精”的问题。从根本上决定了文艺对外交流的整体效益。</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目标3：通过开展系列采风创作活动，深入生活，扎根人民，创作具有时代精神和地域特色的精品力作</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D10A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通过项目的实施，激发了广大文艺工作、文艺爱好者创作出更多讴歌党、讴歌祖国、讴歌人民的优秀文艺作品</w:t>
            </w:r>
          </w:p>
        </w:tc>
      </w:tr>
      <w:tr w14:paraId="436BE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03A6A"/>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66EB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4289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积极开展文艺创作服务、组织引导及作品推荐申报，获奖、参展参演、入刊入报作品共计国家级61件，省级106件，入选省文联2025年度重点文艺创作扶持项目2件，获2024年度巴中市文艺精品奖励6件。其中书法类：入选第七届中国书坛兰亭雅集42人展1件、全国第五届隶书作品展1件，获全国第十三届“书香三八”读书活动书法类三等奖1件。入选省文联百佳推优作品1件，获四川省第三届青年书法篆刻作品展优秀奖1件，四川省第五届临书临印展优秀奖1件；美术类：入选“全国第二届少儿美术教师作品展”1件、四川省文化馆“芳笺绘彩 不负春光—女画家中国画作品展”3件、四川省第九届青年美术作品展1件，获首届四川省高校美术书法创作展二等奖1件、第三届香港青年美术奖优秀奖1件、“双城记·筑梦偕行 第二届川渝美术作品展”优秀奖1件，版画作品《青山竞跃》被四川省体育博物馆永久收藏，是巴中地区唯一入选之作；摄影类：获全国主流媒体新闻展优秀奖1件，入选省文联百佳推优作品1件；文艺评论类：入选省文联百佳推优作品1件；戏剧曲艺类：获四川省第二十届戏剧小品（小戏）比赛一等奖1件、三等奖1件，入选省文联百佳推优作品1件，平昌县创编独幕剧《家书》受到《人民日报》刊载；舞蹈类：获四川省第三届街舞大赛二等奖1件，参演省级活动2件；民间文艺类：获青海湖文化艺术节“金钻奖”1件，其中2人分别获个人表演“金奖”。入“民艺·乡愁—2025年四川民间工艺精品展”3件，获四川省第九届农村手工艺优秀作品奖1件、省级乡村工匠名师培育对象3件、四川省农村手工艺大师1人</w:t>
            </w:r>
          </w:p>
        </w:tc>
      </w:tr>
      <w:tr w14:paraId="2D0C3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882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661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CDB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821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3BB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8B4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FE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62C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398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BBBA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F3BA"/>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3FF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647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26.00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3BF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26.00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D5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26.00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4D0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F49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728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2BF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C080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8E1B3"/>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DCC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FC1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26.00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07E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26.00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C8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26.00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8A4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9B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9D2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22B2D"/>
        </w:tc>
      </w:tr>
      <w:tr w14:paraId="66609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D6721"/>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ADF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FDD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EFA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6A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B50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12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38D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95D46"/>
        </w:tc>
      </w:tr>
      <w:tr w14:paraId="4CAE3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922DC"/>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CED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BC2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DF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B94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0B8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5C3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610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01A71"/>
        </w:tc>
      </w:tr>
      <w:tr w14:paraId="65A05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969D7"/>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17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2AF22">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A3B06">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D4719">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E2E1">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74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B4A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88C4B"/>
        </w:tc>
      </w:tr>
      <w:tr w14:paraId="59E55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F89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C2A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59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568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2AB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45E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825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0B9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083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2FE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ED9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2C090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63AAE"/>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46D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D45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A22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培训文艺人才、组织文艺采风创作</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DC9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F0C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40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A0D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180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12E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FA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29</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1F4FF">
            <w:pPr>
              <w:jc w:val="center"/>
              <w:rPr>
                <w:rFonts w:hint="eastAsia" w:ascii="宋体" w:eastAsia="宋体" w:cs="宋体"/>
                <w:i w:val="0"/>
                <w:iCs w:val="0"/>
                <w:color w:val="000000"/>
                <w:sz w:val="20"/>
                <w:szCs w:val="20"/>
                <w:u w:val="none"/>
              </w:rPr>
            </w:pPr>
          </w:p>
        </w:tc>
      </w:tr>
      <w:tr w14:paraId="41396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5E452"/>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178EB"/>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B1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质量指标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17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激发广大文艺工作、文艺爱好者创作出更多讴歌党、讴歌祖国、讴歌人民的优秀文艺作品</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A89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2C7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4B4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幅</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0A8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D1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65E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17</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130E">
            <w:pPr>
              <w:jc w:val="center"/>
              <w:rPr>
                <w:rFonts w:hint="eastAsia" w:ascii="宋体" w:eastAsia="宋体" w:cs="宋体"/>
                <w:i w:val="0"/>
                <w:iCs w:val="0"/>
                <w:color w:val="000000"/>
                <w:sz w:val="20"/>
                <w:szCs w:val="20"/>
                <w:u w:val="none"/>
              </w:rPr>
            </w:pPr>
          </w:p>
        </w:tc>
      </w:tr>
      <w:tr w14:paraId="3F1A2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CB473"/>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32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EE2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232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搭建与外界的文艺交流平台</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8DE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AE2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促进文艺事业健康发展</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7F0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C8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231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61A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53C8">
            <w:pPr>
              <w:jc w:val="center"/>
              <w:rPr>
                <w:rFonts w:hint="eastAsia" w:ascii="宋体" w:eastAsia="宋体" w:cs="宋体"/>
                <w:i w:val="0"/>
                <w:iCs w:val="0"/>
                <w:color w:val="000000"/>
                <w:sz w:val="20"/>
                <w:szCs w:val="20"/>
                <w:u w:val="none"/>
              </w:rPr>
            </w:pPr>
          </w:p>
        </w:tc>
      </w:tr>
      <w:tr w14:paraId="604DE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5007"/>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BFD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24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9C2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广大文艺工作者、文艺爱好者</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4C9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D0D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614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D4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B0F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DB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703E9">
            <w:pPr>
              <w:jc w:val="center"/>
              <w:rPr>
                <w:rFonts w:hint="eastAsia" w:ascii="宋体" w:eastAsia="宋体" w:cs="宋体"/>
                <w:i w:val="0"/>
                <w:iCs w:val="0"/>
                <w:color w:val="000000"/>
                <w:sz w:val="20"/>
                <w:szCs w:val="20"/>
                <w:u w:val="none"/>
              </w:rPr>
            </w:pPr>
          </w:p>
        </w:tc>
      </w:tr>
      <w:tr w14:paraId="6650A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38B75"/>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083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FF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352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文艺人才培训、采风创作等</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DD3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64D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26</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93B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16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26</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3A9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83C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D1BAF">
            <w:pPr>
              <w:jc w:val="center"/>
              <w:rPr>
                <w:rFonts w:hint="eastAsia" w:ascii="宋体" w:eastAsia="宋体" w:cs="宋体"/>
                <w:i w:val="0"/>
                <w:iCs w:val="0"/>
                <w:color w:val="000000"/>
                <w:sz w:val="20"/>
                <w:szCs w:val="20"/>
                <w:u w:val="none"/>
              </w:rPr>
            </w:pPr>
          </w:p>
        </w:tc>
      </w:tr>
      <w:tr w14:paraId="1805C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C20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D58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6B492">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96</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5B45C">
            <w:pPr>
              <w:rPr>
                <w:rFonts w:hint="eastAsia" w:ascii="宋体" w:eastAsia="宋体" w:cs="宋体"/>
                <w:i w:val="0"/>
                <w:iCs w:val="0"/>
                <w:color w:val="000000"/>
                <w:sz w:val="20"/>
                <w:szCs w:val="20"/>
                <w:u w:val="none"/>
              </w:rPr>
            </w:pPr>
          </w:p>
        </w:tc>
      </w:tr>
      <w:tr w14:paraId="7A38D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A5B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6F43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提升了文联队伍的专业素养、激发创作灵感、促进文化交流、增强团队凝聚力</w:t>
            </w:r>
            <w:r>
              <w:rPr>
                <w:rFonts w:ascii="Times New Roman" w:hAnsi="Times New Roman" w:eastAsia="宋体" w:cs="Times New Roman"/>
                <w:i w:val="0"/>
                <w:iCs w:val="0"/>
                <w:color w:val="000000"/>
                <w:kern w:val="0"/>
                <w:sz w:val="20"/>
                <w:szCs w:val="20"/>
                <w:u w:val="none"/>
                <w:lang w:val="en-US" w:eastAsia="zh-CN"/>
              </w:rPr>
              <w:t>‌</w:t>
            </w:r>
            <w:r>
              <w:rPr>
                <w:rFonts w:hint="eastAsia" w:ascii="宋体" w:eastAsia="宋体" w:cs="宋体"/>
                <w:i w:val="0"/>
                <w:iCs w:val="0"/>
                <w:color w:val="000000"/>
                <w:kern w:val="0"/>
                <w:sz w:val="20"/>
                <w:szCs w:val="20"/>
                <w:u w:val="none"/>
                <w:lang w:val="en-US" w:eastAsia="zh-CN"/>
              </w:rPr>
              <w:t>以及</w:t>
            </w:r>
            <w:r>
              <w:rPr>
                <w:rFonts w:ascii="Times New Roman" w:hAnsi="Times New Roman" w:eastAsia="宋体" w:cs="Times New Roman"/>
                <w:i w:val="0"/>
                <w:iCs w:val="0"/>
                <w:color w:val="000000"/>
                <w:kern w:val="0"/>
                <w:sz w:val="20"/>
                <w:szCs w:val="20"/>
                <w:u w:val="none"/>
                <w:lang w:val="en-US" w:eastAsia="zh-CN"/>
              </w:rPr>
              <w:t>‌</w:t>
            </w:r>
            <w:r>
              <w:rPr>
                <w:rFonts w:hint="eastAsia" w:ascii="宋体" w:eastAsia="宋体" w:cs="宋体"/>
                <w:i w:val="0"/>
                <w:iCs w:val="0"/>
                <w:color w:val="000000"/>
                <w:kern w:val="0"/>
                <w:sz w:val="20"/>
                <w:szCs w:val="20"/>
                <w:u w:val="none"/>
                <w:lang w:val="en-US" w:eastAsia="zh-CN"/>
              </w:rPr>
              <w:t>推动文化传承与社会服务</w:t>
            </w:r>
            <w:r>
              <w:rPr>
                <w:rFonts w:ascii="Times New Roman" w:hAnsi="Times New Roman" w:eastAsia="宋体" w:cs="Times New Roman"/>
                <w:i w:val="0"/>
                <w:iCs w:val="0"/>
                <w:color w:val="000000"/>
                <w:kern w:val="0"/>
                <w:sz w:val="20"/>
                <w:szCs w:val="20"/>
                <w:u w:val="none"/>
                <w:lang w:val="en-US" w:eastAsia="zh-CN"/>
              </w:rPr>
              <w:t>‌</w:t>
            </w:r>
            <w:r>
              <w:rPr>
                <w:rFonts w:hint="eastAsia" w:ascii="宋体" w:eastAsia="宋体" w:cs="宋体"/>
                <w:i w:val="0"/>
                <w:iCs w:val="0"/>
                <w:color w:val="000000"/>
                <w:kern w:val="0"/>
                <w:sz w:val="20"/>
                <w:szCs w:val="20"/>
                <w:u w:val="none"/>
                <w:lang w:val="en-US" w:eastAsia="zh-CN"/>
              </w:rPr>
              <w:t>等方面。通过系统化培训，文艺工作者在创作技巧、表演规范、艺术理论等方面得到显著提升,培育了文艺一批骨干力量</w:t>
            </w:r>
            <w:r>
              <w:rPr>
                <w:rFonts w:ascii="Times New Roman" w:hAnsi="Times New Roman" w:eastAsia="宋体" w:cs="Times New Roman"/>
                <w:i w:val="0"/>
                <w:iCs w:val="0"/>
                <w:color w:val="000000"/>
                <w:kern w:val="0"/>
                <w:sz w:val="20"/>
                <w:szCs w:val="20"/>
                <w:u w:val="none"/>
                <w:lang w:val="en-US" w:eastAsia="zh-CN"/>
              </w:rPr>
              <w:t>‌</w:t>
            </w:r>
            <w:r>
              <w:rPr>
                <w:rFonts w:hint="eastAsia" w:ascii="宋体" w:eastAsia="宋体" w:cs="宋体"/>
                <w:i w:val="0"/>
                <w:iCs w:val="0"/>
                <w:color w:val="000000"/>
                <w:kern w:val="0"/>
                <w:sz w:val="20"/>
                <w:szCs w:val="20"/>
                <w:u w:val="none"/>
                <w:lang w:val="en-US" w:eastAsia="zh-CN"/>
              </w:rPr>
              <w:t>。为艺术家提供了鲜活的生活体验和创作灵感。深化主题表达,深入挖掘现实、革命与历史题材，增强作品的时代深度与精神内核。促进跨地域融合</w:t>
            </w:r>
            <w:r>
              <w:rPr>
                <w:rFonts w:ascii="Times New Roman" w:hAnsi="Times New Roman" w:eastAsia="宋体" w:cs="Times New Roman"/>
                <w:i w:val="0"/>
                <w:iCs w:val="0"/>
                <w:color w:val="000000"/>
                <w:kern w:val="0"/>
                <w:sz w:val="20"/>
                <w:szCs w:val="20"/>
                <w:u w:val="none"/>
                <w:lang w:val="en-US" w:eastAsia="zh-CN"/>
              </w:rPr>
              <w:t>‌</w:t>
            </w:r>
            <w:r>
              <w:rPr>
                <w:rFonts w:hint="eastAsia" w:ascii="宋体" w:eastAsia="宋体" w:cs="宋体"/>
                <w:i w:val="0"/>
                <w:iCs w:val="0"/>
                <w:color w:val="000000"/>
                <w:kern w:val="0"/>
                <w:sz w:val="20"/>
                <w:szCs w:val="20"/>
                <w:u w:val="none"/>
                <w:lang w:val="en-US" w:eastAsia="zh-CN"/>
              </w:rPr>
              <w:t>。推动艺术跨界融合,拓展艺术表现形式。搭建了合作平台</w:t>
            </w:r>
            <w:r>
              <w:rPr>
                <w:rFonts w:ascii="Times New Roman" w:hAnsi="Times New Roman" w:eastAsia="宋体" w:cs="Times New Roman"/>
                <w:i w:val="0"/>
                <w:iCs w:val="0"/>
                <w:color w:val="000000"/>
                <w:kern w:val="0"/>
                <w:sz w:val="20"/>
                <w:szCs w:val="20"/>
                <w:u w:val="none"/>
                <w:lang w:val="en-US" w:eastAsia="zh-CN"/>
              </w:rPr>
              <w:t>‌</w:t>
            </w:r>
            <w:r>
              <w:rPr>
                <w:rFonts w:hint="eastAsia" w:ascii="宋体" w:eastAsia="宋体" w:cs="宋体"/>
                <w:i w:val="0"/>
                <w:iCs w:val="0"/>
                <w:color w:val="000000"/>
                <w:kern w:val="0"/>
                <w:sz w:val="20"/>
                <w:szCs w:val="20"/>
                <w:u w:val="none"/>
                <w:lang w:val="en-US" w:eastAsia="zh-CN"/>
              </w:rPr>
              <w:t>，让文艺真正“走进人民”,从而增强了文联组织活力</w:t>
            </w:r>
            <w:r>
              <w:rPr>
                <w:rFonts w:ascii="Times New Roman" w:hAnsi="Times New Roman" w:eastAsia="宋体" w:cs="Times New Roman"/>
                <w:i w:val="0"/>
                <w:iCs w:val="0"/>
                <w:color w:val="000000"/>
                <w:kern w:val="0"/>
                <w:sz w:val="20"/>
                <w:szCs w:val="20"/>
                <w:u w:val="none"/>
                <w:lang w:val="en-US" w:eastAsia="zh-CN"/>
              </w:rPr>
              <w:t>‌</w:t>
            </w:r>
            <w:r>
              <w:rPr>
                <w:rFonts w:hint="eastAsia" w:ascii="宋体" w:eastAsia="宋体" w:cs="宋体"/>
                <w:i w:val="0"/>
                <w:iCs w:val="0"/>
                <w:color w:val="000000"/>
                <w:kern w:val="0"/>
                <w:sz w:val="20"/>
                <w:szCs w:val="20"/>
                <w:u w:val="none"/>
                <w:lang w:val="en-US" w:eastAsia="zh-CN"/>
              </w:rPr>
              <w:t>.</w:t>
            </w:r>
          </w:p>
        </w:tc>
      </w:tr>
      <w:tr w14:paraId="7B075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9E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6E11D">
            <w:pPr>
              <w:rPr>
                <w:rFonts w:hint="eastAsia" w:ascii="宋体" w:eastAsia="宋体" w:cs="宋体"/>
                <w:i w:val="0"/>
                <w:iCs w:val="0"/>
                <w:color w:val="000000"/>
                <w:sz w:val="20"/>
                <w:szCs w:val="20"/>
                <w:u w:val="none"/>
              </w:rPr>
            </w:pPr>
          </w:p>
        </w:tc>
      </w:tr>
      <w:tr w14:paraId="7EFD7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E5D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E7EEF">
            <w:pPr>
              <w:rPr>
                <w:rFonts w:hint="eastAsia" w:ascii="宋体" w:eastAsia="宋体" w:cs="宋体"/>
                <w:i w:val="0"/>
                <w:iCs w:val="0"/>
                <w:color w:val="000000"/>
                <w:sz w:val="20"/>
                <w:szCs w:val="20"/>
                <w:u w:val="none"/>
              </w:rPr>
            </w:pPr>
          </w:p>
        </w:tc>
      </w:tr>
      <w:tr w14:paraId="03CFB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E4348">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51E82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EA9C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6D30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51190025T000013198310-2025年年初部门预算特定目标类项目203003市文联展览、展演、展示等经费</w:t>
            </w:r>
          </w:p>
        </w:tc>
      </w:tr>
      <w:tr w14:paraId="5384D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9F8D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351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65D8C46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DA5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巴中市文学艺术界联合会</w:t>
            </w:r>
          </w:p>
        </w:tc>
      </w:tr>
      <w:tr w14:paraId="716F3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4EF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378C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EA3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3EB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1C5EA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991BD"/>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5E68"/>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7F6A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目标1：通过围绕重大节庆、事件，开展系列展览、展演、展示，充分激发广大市民的爱国情怀，积极投身建设祖国、建设家乡。　</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73B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通过围绕重大节庆、事件，开展系列展览、展演、展示，充分激发广大市民的爱国情怀，积极投身建设祖国、建设家乡。在全市文艺工作者的共同努力下，全面完成了2025年预定的目标。</w:t>
            </w:r>
          </w:p>
        </w:tc>
      </w:tr>
      <w:tr w14:paraId="5FC07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1D7B1"/>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226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DFA2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是联合中曲协、省文联等多家单位成功承办第六届中国西部优秀曲艺节目展演，吸引来自西部12省300余名曲艺工作者参与，连续三日为观众带来一场场视听盛宴。二是举办巴中市“四龛福城杯”石窟文化摄影(邀请)赛，面向全国各地摄影家及爱好者征集作品5368幅（组），扩大我市“四龛福城”文化品牌传播效应。三是联合省音协开展“我们的中国梦 文化进万家”暨金钟之声走进巴中采风创作与惠民演出活动，期间与省音协在巴中文艺之家签订战略合作框架协议，深化省地文艺资源联动，推动巴中风土文化、红色文化与传统民歌文化的音乐化转化、品牌化传播，以音乐为媒，为巴中文旅融合与乡村振兴注入鲜活动能。四是联合省曲协开展“新时代文明实践—2025四川曲艺流动讲堂暨文化惠民演出活动”，期间理论授课、创作辅导、惠民演出、行业研讨环环相扣，兼具专业性与亲民性，既为我市基层曲艺人才充电赋能，也以实际行动让传统艺术在创新中焕发活力，让文化成果在共享中凝聚民心。</w:t>
            </w:r>
          </w:p>
        </w:tc>
      </w:tr>
      <w:tr w14:paraId="14EA4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8E0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468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1EC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78E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7C1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F1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A6C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A4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A34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2EAE7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D2FC"/>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76C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75B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397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F0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FD8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5E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FCE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4021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71523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BA294"/>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65D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A37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E1A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54A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F18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D8F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621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E9E5"/>
        </w:tc>
      </w:tr>
      <w:tr w14:paraId="6C430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1152"/>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3A2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B20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CB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C6B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AD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540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52C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61374"/>
        </w:tc>
      </w:tr>
      <w:tr w14:paraId="11965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1FB83"/>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20A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D19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10A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8A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9AC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0AA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4DB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389F"/>
        </w:tc>
      </w:tr>
      <w:tr w14:paraId="0949B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75983"/>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F63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84B4">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2E5A2">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9D43B">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6C88F">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510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34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E654B"/>
        </w:tc>
      </w:tr>
      <w:tr w14:paraId="3CF61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A28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D35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F45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399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396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D3B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2CB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291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274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FCA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71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255F8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CAA7"/>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385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E2B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4D0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展览、展演、展示场次、人数</w:t>
            </w:r>
          </w:p>
        </w:tc>
        <w:tc>
          <w:tcPr>
            <w:tcW w:w="5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8A9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606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01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0DF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E75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A48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0DB09">
            <w:pPr>
              <w:jc w:val="center"/>
              <w:rPr>
                <w:rFonts w:hint="eastAsia" w:ascii="宋体" w:eastAsia="宋体" w:cs="宋体"/>
                <w:i w:val="0"/>
                <w:iCs w:val="0"/>
                <w:color w:val="000000"/>
                <w:sz w:val="20"/>
                <w:szCs w:val="20"/>
                <w:u w:val="none"/>
              </w:rPr>
            </w:pPr>
          </w:p>
        </w:tc>
      </w:tr>
      <w:tr w14:paraId="51D4E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68F9D"/>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4F8C"/>
        </w:tc>
        <w:tc>
          <w:tcPr>
            <w:tcW w:w="17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CD99D"/>
        </w:tc>
        <w:tc>
          <w:tcPr>
            <w:tcW w:w="22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5D0B5"/>
        </w:tc>
        <w:tc>
          <w:tcPr>
            <w:tcW w:w="5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C460"/>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497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B9C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064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AC4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4C5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244B6">
            <w:pPr>
              <w:jc w:val="center"/>
              <w:rPr>
                <w:rFonts w:hint="eastAsia" w:ascii="宋体" w:eastAsia="宋体" w:cs="宋体"/>
                <w:i w:val="0"/>
                <w:iCs w:val="0"/>
                <w:color w:val="000000"/>
                <w:sz w:val="20"/>
                <w:szCs w:val="20"/>
                <w:u w:val="none"/>
              </w:rPr>
            </w:pPr>
          </w:p>
        </w:tc>
      </w:tr>
      <w:tr w14:paraId="2F877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89B5A"/>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6A74E"/>
        </w:tc>
        <w:tc>
          <w:tcPr>
            <w:tcW w:w="17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D3420"/>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D27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展览、展演、展示参作品</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48D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39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824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幅</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63B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1D8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98C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7DA88">
            <w:pPr>
              <w:jc w:val="center"/>
              <w:rPr>
                <w:rFonts w:hint="eastAsia" w:ascii="宋体" w:eastAsia="宋体" w:cs="宋体"/>
                <w:i w:val="0"/>
                <w:iCs w:val="0"/>
                <w:color w:val="000000"/>
                <w:sz w:val="20"/>
                <w:szCs w:val="20"/>
                <w:u w:val="none"/>
              </w:rPr>
            </w:pPr>
          </w:p>
        </w:tc>
      </w:tr>
      <w:tr w14:paraId="46028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F28B"/>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F6CB"/>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7FD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质量指标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6F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作品必须紧扣主题，感染力强，内容健康、积极向上，思想精深、艺术精湛、制作精良。</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D46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4B5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BE4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AA0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FF7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001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B1978">
            <w:pPr>
              <w:jc w:val="center"/>
              <w:rPr>
                <w:rFonts w:hint="eastAsia" w:ascii="宋体" w:eastAsia="宋体" w:cs="宋体"/>
                <w:i w:val="0"/>
                <w:iCs w:val="0"/>
                <w:color w:val="000000"/>
                <w:sz w:val="20"/>
                <w:szCs w:val="20"/>
                <w:u w:val="none"/>
              </w:rPr>
            </w:pPr>
          </w:p>
        </w:tc>
      </w:tr>
      <w:tr w14:paraId="3C565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D342F"/>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3AB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14B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0B1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激发全市人民的历史责任感和奋斗精神，凝聚起建设“三市两地一枢纽”的强大活力</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284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1A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98</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00D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EF0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B75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01B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55334">
            <w:pPr>
              <w:jc w:val="center"/>
              <w:rPr>
                <w:rFonts w:hint="eastAsia" w:ascii="宋体" w:eastAsia="宋体" w:cs="宋体"/>
                <w:i w:val="0"/>
                <w:iCs w:val="0"/>
                <w:color w:val="000000"/>
                <w:sz w:val="20"/>
                <w:szCs w:val="20"/>
                <w:u w:val="none"/>
              </w:rPr>
            </w:pPr>
          </w:p>
        </w:tc>
      </w:tr>
      <w:tr w14:paraId="24507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5E70E"/>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8D2DB"/>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FD4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可持续影响指标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204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激发广大文艺工作者、爱好者创作热情</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AA2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4CC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424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28F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664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854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6F92B">
            <w:pPr>
              <w:jc w:val="center"/>
              <w:rPr>
                <w:rFonts w:hint="eastAsia" w:ascii="宋体" w:eastAsia="宋体" w:cs="宋体"/>
                <w:i w:val="0"/>
                <w:iCs w:val="0"/>
                <w:color w:val="000000"/>
                <w:sz w:val="20"/>
                <w:szCs w:val="20"/>
                <w:u w:val="none"/>
              </w:rPr>
            </w:pPr>
          </w:p>
        </w:tc>
      </w:tr>
      <w:tr w14:paraId="63B40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56809"/>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C91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616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BC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广大文艺工作者、文艺爱好者</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931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E3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B78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16A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ED1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04F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A0E93">
            <w:pPr>
              <w:jc w:val="center"/>
              <w:rPr>
                <w:rFonts w:hint="eastAsia" w:ascii="宋体" w:eastAsia="宋体" w:cs="宋体"/>
                <w:i w:val="0"/>
                <w:iCs w:val="0"/>
                <w:color w:val="000000"/>
                <w:sz w:val="20"/>
                <w:szCs w:val="20"/>
                <w:u w:val="none"/>
              </w:rPr>
            </w:pPr>
          </w:p>
        </w:tc>
      </w:tr>
      <w:tr w14:paraId="17DAD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05815"/>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201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C3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A88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作品装裱、展墙及展架、布展、人工等</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9C6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7AE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7DA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BD32">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C65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E09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06E0A">
            <w:pPr>
              <w:jc w:val="center"/>
              <w:rPr>
                <w:rFonts w:hint="eastAsia" w:ascii="宋体" w:eastAsia="宋体" w:cs="宋体"/>
                <w:i w:val="0"/>
                <w:iCs w:val="0"/>
                <w:color w:val="000000"/>
                <w:sz w:val="20"/>
                <w:szCs w:val="20"/>
                <w:u w:val="none"/>
              </w:rPr>
            </w:pPr>
          </w:p>
        </w:tc>
      </w:tr>
      <w:tr w14:paraId="24641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6DA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A71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2B211">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98</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9A1B3">
            <w:pPr>
              <w:rPr>
                <w:rFonts w:hint="eastAsia" w:ascii="宋体" w:eastAsia="宋体" w:cs="宋体"/>
                <w:i w:val="0"/>
                <w:iCs w:val="0"/>
                <w:color w:val="000000"/>
                <w:sz w:val="20"/>
                <w:szCs w:val="20"/>
                <w:u w:val="none"/>
              </w:rPr>
            </w:pPr>
          </w:p>
        </w:tc>
      </w:tr>
      <w:tr w14:paraId="125A6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375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9B0D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通过项目的实施，全方位多角度展现巴中人民同心同德、砥砺前行所取得的辉煌成就，以艺术的形式热情讴歌时代的变迁和巴中大地巨大的变化，引导大家积极参与勇于承担“共创美好生活，建设幸福巴中”的光荣使命，进一步激发全市人民的历史责任感和奋斗精神，凝聚起建设“一市四区三地”的强大活力。</w:t>
            </w:r>
          </w:p>
        </w:tc>
      </w:tr>
      <w:tr w14:paraId="3353D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340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BC36F">
            <w:pPr>
              <w:rPr>
                <w:rFonts w:hint="eastAsia" w:ascii="宋体" w:eastAsia="宋体" w:cs="宋体"/>
                <w:i w:val="0"/>
                <w:iCs w:val="0"/>
                <w:color w:val="000000"/>
                <w:sz w:val="20"/>
                <w:szCs w:val="20"/>
                <w:u w:val="none"/>
              </w:rPr>
            </w:pPr>
          </w:p>
        </w:tc>
      </w:tr>
      <w:tr w14:paraId="6F88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9AE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4341">
            <w:pPr>
              <w:rPr>
                <w:rFonts w:hint="eastAsia" w:ascii="宋体" w:eastAsia="宋体" w:cs="宋体"/>
                <w:i w:val="0"/>
                <w:iCs w:val="0"/>
                <w:color w:val="000000"/>
                <w:sz w:val="20"/>
                <w:szCs w:val="20"/>
                <w:u w:val="none"/>
              </w:rPr>
            </w:pPr>
          </w:p>
        </w:tc>
      </w:tr>
      <w:tr w14:paraId="0BF20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8AA09">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23166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4860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0FE4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51190025T000013198313-2025年年初部门预算特定目标类项目203003市文联文艺志愿服务经费</w:t>
            </w:r>
          </w:p>
        </w:tc>
      </w:tr>
      <w:tr w14:paraId="1AAB3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232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09B6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5F55146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DF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巴中市文学艺术界联合会</w:t>
            </w:r>
          </w:p>
        </w:tc>
      </w:tr>
      <w:tr w14:paraId="7332C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D0B2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17BE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D8B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7C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2742E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9E090"/>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6F59E"/>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6AAF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目标1：大力弘扬“奉献、友爱、互助、进步”的志愿精神，广泛传播志愿服务理念，积极发挥文化文艺志愿者服务社会、服务大众的作用，构建参与广泛、内容丰富、形式多样、机制健全的文艺志愿服务体系，营造健康向善的良好社会风尚。</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目标2：以培育和践行社会主义核心价值观，满足群众文化需求为目的，充分调动社会力量积极参与支持文化文艺志愿服务，针对群众文化需求，以农村、社区为重点服务区域，以未成年人、空巢老人、留守儿童、农民工和残疾人为重点群体开展针对性服务，实现公共文化服务均等化。</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目标3：建立健全文化文艺志愿服务长效工作机制和活动运行机制，推动文化文艺志愿服务常态化、规范化，推动文化文艺志愿服务事业规范有序、持续健康发展。</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D4A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引导广大文艺工作者坚持以人为本、服务人民的根本宗旨，大力弘扬先进文化，努力繁荣基层文化，积极践行“爱国、为民、崇德、尚艺”的文艺界核心价值观。在文艺界广泛普及和弘扬志愿服务精神，壮大文艺志愿者队伍，积极建立和完善文艺志愿服务体系。</w:t>
            </w:r>
          </w:p>
        </w:tc>
      </w:tr>
      <w:tr w14:paraId="4120E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979D5"/>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0385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C03E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引导广大文艺工作者坚持以人为本、服务人民的根本宗旨，大力弘扬先进文化，努力繁荣基层文化，积极践行“爱国、为民、崇德、尚艺”的文艺界核心价值观，坚定不移地走中国特色社会主义文化发展道路。在文艺界广泛普及和弘扬志愿服务精神，壮大文艺志愿者队伍，积极建立和完善文艺志愿服务体系，为最大限度地发挥广大文艺工作者的积极性创造性，最大限度地凝聚各方面各层次文艺志愿服务者的智慧和力量，最大限度地满足人民群众日益增长的精神文化需求，推动社会主义文化大发展大繁荣作出贡献。</w:t>
            </w:r>
          </w:p>
        </w:tc>
      </w:tr>
      <w:tr w14:paraId="6A3F3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082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8A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F10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928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71C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FD1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BB1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832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415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77012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5322B"/>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BFB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0C0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7F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25B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ECA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5A3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584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6483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2D4D4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855D0"/>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FE1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9A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B93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5C8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888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E13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DAF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20440"/>
        </w:tc>
      </w:tr>
      <w:tr w14:paraId="0AA2B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FEDB1"/>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A45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7EA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9B1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6E7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A30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89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A2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5D6B8"/>
        </w:tc>
      </w:tr>
      <w:tr w14:paraId="3D173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35B0"/>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815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E5F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89B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FDE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5E5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67C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A8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EA81B"/>
        </w:tc>
      </w:tr>
      <w:tr w14:paraId="71AAF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2287A"/>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14C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B4AAA">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7ADC">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F6C4F">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34F01">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05F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C65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23C8A"/>
        </w:tc>
      </w:tr>
      <w:tr w14:paraId="6F7DD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08A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595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FA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FC5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6EA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BF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9F3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69E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13A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1D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475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61594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79EDA"/>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17C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3A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A62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开展送文艺进学校、社区、机关、部队等系列文艺志愿服务</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1F5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431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81B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40F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2B8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8C0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9CF5D">
            <w:pPr>
              <w:jc w:val="center"/>
              <w:rPr>
                <w:rFonts w:hint="eastAsia" w:ascii="宋体" w:eastAsia="宋体" w:cs="宋体"/>
                <w:i w:val="0"/>
                <w:iCs w:val="0"/>
                <w:color w:val="000000"/>
                <w:sz w:val="20"/>
                <w:szCs w:val="20"/>
                <w:u w:val="none"/>
              </w:rPr>
            </w:pPr>
          </w:p>
        </w:tc>
      </w:tr>
      <w:tr w14:paraId="39325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7FBEE"/>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0B304"/>
        </w:tc>
        <w:tc>
          <w:tcPr>
            <w:tcW w:w="17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AE143"/>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238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开展戏剧、音乐、舞蹈、美术、书法、摄影等文艺志愿服务</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00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9D1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802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794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0C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F8F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5BF24">
            <w:pPr>
              <w:jc w:val="center"/>
              <w:rPr>
                <w:rFonts w:hint="eastAsia" w:ascii="宋体" w:eastAsia="宋体" w:cs="宋体"/>
                <w:i w:val="0"/>
                <w:iCs w:val="0"/>
                <w:color w:val="000000"/>
                <w:sz w:val="20"/>
                <w:szCs w:val="20"/>
                <w:u w:val="none"/>
              </w:rPr>
            </w:pPr>
          </w:p>
        </w:tc>
      </w:tr>
      <w:tr w14:paraId="193D7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046CF"/>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9371"/>
        </w:tc>
        <w:tc>
          <w:tcPr>
            <w:tcW w:w="17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EC39"/>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95A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全面提升我市文艺志愿服务水平，助力全国文明城市创建</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87E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78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C2C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C9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3F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9C4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B58FA">
            <w:pPr>
              <w:jc w:val="center"/>
              <w:rPr>
                <w:rFonts w:hint="eastAsia" w:ascii="宋体" w:eastAsia="宋体" w:cs="宋体"/>
                <w:i w:val="0"/>
                <w:iCs w:val="0"/>
                <w:color w:val="000000"/>
                <w:sz w:val="20"/>
                <w:szCs w:val="20"/>
                <w:u w:val="none"/>
              </w:rPr>
            </w:pPr>
          </w:p>
        </w:tc>
      </w:tr>
      <w:tr w14:paraId="06206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F1EC8"/>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1C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C87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46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团结引领我市广大文艺工作者积极投身文艺志愿者行列，大力推动我市文化文艺志愿服务工作深入开展</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FE8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26F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55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D81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1E9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7BF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4CED9">
            <w:pPr>
              <w:jc w:val="center"/>
              <w:rPr>
                <w:rFonts w:hint="eastAsia" w:ascii="宋体" w:eastAsia="宋体" w:cs="宋体"/>
                <w:i w:val="0"/>
                <w:iCs w:val="0"/>
                <w:color w:val="000000"/>
                <w:sz w:val="20"/>
                <w:szCs w:val="20"/>
                <w:u w:val="none"/>
              </w:rPr>
            </w:pPr>
          </w:p>
        </w:tc>
      </w:tr>
      <w:tr w14:paraId="4B26B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433E8"/>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C4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231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0A3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广大文艺工作者、文艺爱好者</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755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78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3C3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92E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C6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8D1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278E">
            <w:pPr>
              <w:jc w:val="center"/>
              <w:rPr>
                <w:rFonts w:hint="eastAsia" w:ascii="宋体" w:eastAsia="宋体" w:cs="宋体"/>
                <w:i w:val="0"/>
                <w:iCs w:val="0"/>
                <w:color w:val="000000"/>
                <w:sz w:val="20"/>
                <w:szCs w:val="20"/>
                <w:u w:val="none"/>
              </w:rPr>
            </w:pPr>
          </w:p>
        </w:tc>
      </w:tr>
      <w:tr w14:paraId="18E01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C6D64"/>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D9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226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74A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ED9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82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5DE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435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9DB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B7E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0029">
            <w:pPr>
              <w:jc w:val="center"/>
              <w:rPr>
                <w:rFonts w:hint="eastAsia" w:ascii="宋体" w:eastAsia="宋体" w:cs="宋体"/>
                <w:i w:val="0"/>
                <w:iCs w:val="0"/>
                <w:color w:val="000000"/>
                <w:sz w:val="20"/>
                <w:szCs w:val="20"/>
                <w:u w:val="none"/>
              </w:rPr>
            </w:pPr>
          </w:p>
        </w:tc>
      </w:tr>
      <w:tr w14:paraId="4DA14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18F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8A5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5A3E">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613C4">
            <w:pPr>
              <w:rPr>
                <w:rFonts w:hint="eastAsia" w:ascii="宋体" w:eastAsia="宋体" w:cs="宋体"/>
                <w:i w:val="0"/>
                <w:iCs w:val="0"/>
                <w:color w:val="000000"/>
                <w:sz w:val="20"/>
                <w:szCs w:val="20"/>
                <w:u w:val="none"/>
              </w:rPr>
            </w:pPr>
          </w:p>
        </w:tc>
      </w:tr>
      <w:tr w14:paraId="5868B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1B4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C2C3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充分发挥文联组织的工作优势，积极挖掘和整合各艺术门类优秀人才资源，广泛调动文艺家和文艺工作者参与志愿服务的积极性，依托各市文艺家协会、县区文联，将文艺家、中青年文艺工作者和文艺爱好者作为开展文艺志愿服务的主体力量。实现了文艺志愿服务经常化储备、规范化管理、常态化服务、品牌化培育、项目化配置、信息化支撑、社会化运作，使文艺志愿服务理念深入人心、组织不断壮大、队伍结构不断优化、服务项目不断丰富、服务成果广泛共享。</w:t>
            </w:r>
          </w:p>
        </w:tc>
      </w:tr>
      <w:tr w14:paraId="333F6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F55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0B71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结合自评情况，分析存在的问题及原因。（200字以内）</w:t>
            </w:r>
          </w:p>
        </w:tc>
      </w:tr>
      <w:tr w14:paraId="3DCAE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7FC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3E20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针对项目自评中发现的问题，提出下一步改进完善的意见及有关政策性建议。（200字以内）</w:t>
            </w:r>
          </w:p>
        </w:tc>
      </w:tr>
      <w:tr w14:paraId="44D9C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076E0">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5E2CE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55BD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AAAD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51190025T000013198319-2025年年初部门预算特定目标类项目203003市文联《巴山风》排版编辑印制稿酬等经费</w:t>
            </w:r>
          </w:p>
        </w:tc>
      </w:tr>
      <w:tr w14:paraId="6AE68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33EA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CE5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6B41A95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75D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巴中市文学艺术界联合会</w:t>
            </w:r>
          </w:p>
        </w:tc>
      </w:tr>
      <w:tr w14:paraId="25E5E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D13D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96E8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79E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284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6038E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B120"/>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49C08"/>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2B7D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目标1：更好地服务于巴中经济文化建设，擦亮“巴文化中心”这块牌子，面向泛巴区域、配合“大巴山文艺推优工程”搭建文艺交流平台　</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2EF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通过项目的实施，搭建了与外界的文艺交流平台，促进文艺事业健康发展，吸引优质文艺资源聚集巴中</w:t>
            </w:r>
          </w:p>
        </w:tc>
      </w:tr>
      <w:tr w14:paraId="7BE11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7F4D3"/>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5F43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15B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市文联会刊《巴山风》，原名《绮罗文艺》，已出版33期，2015年评为四川省十佳优秀文艺期刊。《巴山风》是以文化的视角，文艺的特性，巴中的元素，独特的品质为风格的连续性文艺出版刊物；以“服务大局，服务文艺作品，服务文艺家”为办刊方针。全方位多角度地对巴中的文化、文艺作品、文艺人才进行展示与传播，成为了巴中人的文化读本，展示巴中文化形象的重要窗口、巴中文艺的有效传播平台和载体。为完善省委巡视工作组关于规范《巴山风》出版工作的意见，持续办好文艺品牌刊物，建议将会刊《巴山风》出版等相关工作外包给成都书点文化传播有限公司进行</w:t>
            </w:r>
          </w:p>
        </w:tc>
      </w:tr>
      <w:tr w14:paraId="6A664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3B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6CF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2DF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7F6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72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9F2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45E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6B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4B1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44A25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CBE22"/>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CB9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592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14.00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77D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13.89</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386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13.89</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C5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8AE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D73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0B90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0BAFA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8AA38"/>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18A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CB2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14.00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0CB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13.89</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3B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13.89</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8B7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31D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B6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11D43"/>
        </w:tc>
      </w:tr>
      <w:tr w14:paraId="7A3AB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D4357"/>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D6F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C21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060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147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37D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69E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1B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222A"/>
        </w:tc>
      </w:tr>
      <w:tr w14:paraId="03E6A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AF1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AAF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7E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62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269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08B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CA7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81A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ADF72"/>
        </w:tc>
      </w:tr>
      <w:tr w14:paraId="20E7D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9C79A"/>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925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D4E4E">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912D7">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68094">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6E046">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4AA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1BB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3A74"/>
        </w:tc>
      </w:tr>
      <w:tr w14:paraId="62377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18E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08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88A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A6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92B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950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90E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7E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0AF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9EF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ED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11AA9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60E45"/>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63B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C46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BA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每期印制</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F6B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505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B6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F2D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BA0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8F2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97199">
            <w:pPr>
              <w:jc w:val="center"/>
              <w:rPr>
                <w:rFonts w:hint="eastAsia" w:ascii="宋体" w:eastAsia="宋体" w:cs="宋体"/>
                <w:i w:val="0"/>
                <w:iCs w:val="0"/>
                <w:color w:val="000000"/>
                <w:sz w:val="20"/>
                <w:szCs w:val="20"/>
                <w:u w:val="none"/>
              </w:rPr>
            </w:pPr>
          </w:p>
        </w:tc>
      </w:tr>
      <w:tr w14:paraId="27F2F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C73B0"/>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FA3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350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32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搭建与外界的文艺交流平台，吸引优质文艺资源聚集巴中，扩大巴中文艺界在外影响力</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69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A75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7000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1B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79F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F02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273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17</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A3B5B">
            <w:pPr>
              <w:jc w:val="center"/>
              <w:rPr>
                <w:rFonts w:hint="eastAsia" w:ascii="宋体" w:eastAsia="宋体" w:cs="宋体"/>
                <w:i w:val="0"/>
                <w:iCs w:val="0"/>
                <w:color w:val="000000"/>
                <w:sz w:val="20"/>
                <w:szCs w:val="20"/>
                <w:u w:val="none"/>
              </w:rPr>
            </w:pPr>
          </w:p>
        </w:tc>
      </w:tr>
      <w:tr w14:paraId="7CB11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46480"/>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722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7F9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5E7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广大文艺工作者、文艺爱好者</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A14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B7F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147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21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CC9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B2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933B5">
            <w:pPr>
              <w:jc w:val="center"/>
              <w:rPr>
                <w:rFonts w:hint="eastAsia" w:ascii="宋体" w:eastAsia="宋体" w:cs="宋体"/>
                <w:i w:val="0"/>
                <w:iCs w:val="0"/>
                <w:color w:val="000000"/>
                <w:sz w:val="20"/>
                <w:szCs w:val="20"/>
                <w:u w:val="none"/>
              </w:rPr>
            </w:pPr>
          </w:p>
        </w:tc>
      </w:tr>
      <w:tr w14:paraId="7725C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2F52B"/>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258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D24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6F8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《巴山风》编辑、印制、设计、稿酬、邮寄等</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C3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95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13.89</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1F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9CE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13.89</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5B6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89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F7B2">
            <w:pPr>
              <w:jc w:val="center"/>
              <w:rPr>
                <w:rFonts w:hint="eastAsia" w:ascii="宋体" w:eastAsia="宋体" w:cs="宋体"/>
                <w:i w:val="0"/>
                <w:iCs w:val="0"/>
                <w:color w:val="000000"/>
                <w:sz w:val="20"/>
                <w:szCs w:val="20"/>
                <w:u w:val="none"/>
              </w:rPr>
            </w:pPr>
          </w:p>
        </w:tc>
      </w:tr>
      <w:tr w14:paraId="12957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E8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880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1F131">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97</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67E1C">
            <w:pPr>
              <w:rPr>
                <w:rFonts w:hint="eastAsia" w:ascii="宋体" w:eastAsia="宋体" w:cs="宋体"/>
                <w:i w:val="0"/>
                <w:iCs w:val="0"/>
                <w:color w:val="000000"/>
                <w:sz w:val="20"/>
                <w:szCs w:val="20"/>
                <w:u w:val="none"/>
              </w:rPr>
            </w:pPr>
          </w:p>
        </w:tc>
      </w:tr>
      <w:tr w14:paraId="7001F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0B8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D34C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山风》是以文化的视角，文艺的特性，巴中的元素，独特的品质为风格的连续性文艺出版刊物；以“服务大局，服务文艺作品，服务文艺家”为办刊方针。全方位多角度地对巴中的文化、文艺作品、文艺人才进行展示与传播，巴中人的文化读本，展示巴中文化形象的重要载体、巴中文艺的有效传播平台和载体。同时，面向泛巴区域，为“大巴山文艺推优工程”搭建文艺平台，擦亮“巴文化中心”这块牌子，讲好巴中故事，传播巴中声音，努力为文化强市建设作出积极贡献。</w:t>
            </w:r>
          </w:p>
        </w:tc>
      </w:tr>
      <w:tr w14:paraId="26A03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769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9FAD4">
            <w:pPr>
              <w:rPr>
                <w:rFonts w:hint="eastAsia" w:ascii="宋体" w:eastAsia="宋体" w:cs="宋体"/>
                <w:i w:val="0"/>
                <w:iCs w:val="0"/>
                <w:color w:val="000000"/>
                <w:sz w:val="20"/>
                <w:szCs w:val="20"/>
                <w:u w:val="none"/>
              </w:rPr>
            </w:pPr>
          </w:p>
        </w:tc>
      </w:tr>
      <w:tr w14:paraId="17D0D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8B6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37852">
            <w:pPr>
              <w:rPr>
                <w:rFonts w:hint="eastAsia" w:ascii="宋体" w:eastAsia="宋体" w:cs="宋体"/>
                <w:i w:val="0"/>
                <w:iCs w:val="0"/>
                <w:color w:val="000000"/>
                <w:sz w:val="20"/>
                <w:szCs w:val="20"/>
                <w:u w:val="none"/>
              </w:rPr>
            </w:pPr>
          </w:p>
        </w:tc>
      </w:tr>
      <w:tr w14:paraId="361B9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4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141D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w:t>
            </w:r>
          </w:p>
        </w:tc>
        <w:tc>
          <w:tcPr>
            <w:tcW w:w="592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8A6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w:t>
            </w:r>
          </w:p>
        </w:tc>
      </w:tr>
      <w:tr w14:paraId="170A8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nil"/>
              <w:left w:val="nil"/>
              <w:bottom w:val="nil"/>
              <w:right w:val="nil"/>
            </w:tcBorders>
            <w:shd w:val="clear" w:color="auto" w:fill="auto"/>
            <w:noWrap/>
            <w:vAlign w:val="center"/>
          </w:tcPr>
          <w:p w14:paraId="7B843DF2">
            <w:pPr>
              <w:rPr>
                <w:rFonts w:hint="eastAsia" w:ascii="宋体" w:eastAsia="宋体" w:cs="宋体"/>
                <w:i w:val="0"/>
                <w:iCs w:val="0"/>
                <w:color w:val="000000"/>
                <w:sz w:val="20"/>
                <w:szCs w:val="20"/>
                <w:u w:val="none"/>
              </w:rPr>
            </w:pPr>
          </w:p>
        </w:tc>
        <w:tc>
          <w:tcPr>
            <w:tcW w:w="1590" w:type="dxa"/>
            <w:gridSpan w:val="2"/>
            <w:tcBorders>
              <w:top w:val="nil"/>
              <w:left w:val="nil"/>
              <w:bottom w:val="nil"/>
              <w:right w:val="nil"/>
            </w:tcBorders>
            <w:shd w:val="clear" w:color="auto" w:fill="auto"/>
            <w:noWrap/>
            <w:vAlign w:val="center"/>
          </w:tcPr>
          <w:p w14:paraId="178CC808">
            <w:pPr>
              <w:rPr>
                <w:rFonts w:hint="eastAsia" w:ascii="宋体" w:eastAsia="宋体" w:cs="宋体"/>
                <w:i w:val="0"/>
                <w:iCs w:val="0"/>
                <w:color w:val="000000"/>
                <w:sz w:val="20"/>
                <w:szCs w:val="20"/>
                <w:u w:val="none"/>
              </w:rPr>
            </w:pPr>
          </w:p>
        </w:tc>
        <w:tc>
          <w:tcPr>
            <w:tcW w:w="1770" w:type="dxa"/>
            <w:gridSpan w:val="2"/>
            <w:tcBorders>
              <w:top w:val="nil"/>
              <w:left w:val="nil"/>
              <w:bottom w:val="nil"/>
              <w:right w:val="nil"/>
            </w:tcBorders>
            <w:shd w:val="clear" w:color="auto" w:fill="auto"/>
            <w:noWrap/>
            <w:vAlign w:val="center"/>
          </w:tcPr>
          <w:p w14:paraId="14608C34">
            <w:pPr>
              <w:rPr>
                <w:rFonts w:hint="eastAsia" w:ascii="宋体" w:eastAsia="宋体" w:cs="宋体"/>
                <w:i w:val="0"/>
                <w:iCs w:val="0"/>
                <w:color w:val="000000"/>
                <w:sz w:val="20"/>
                <w:szCs w:val="20"/>
                <w:u w:val="none"/>
              </w:rPr>
            </w:pPr>
          </w:p>
        </w:tc>
        <w:tc>
          <w:tcPr>
            <w:tcW w:w="2265" w:type="dxa"/>
            <w:gridSpan w:val="2"/>
            <w:tcBorders>
              <w:top w:val="nil"/>
              <w:left w:val="nil"/>
              <w:bottom w:val="nil"/>
              <w:right w:val="nil"/>
            </w:tcBorders>
            <w:shd w:val="clear" w:color="auto" w:fill="auto"/>
            <w:noWrap/>
            <w:vAlign w:val="center"/>
          </w:tcPr>
          <w:p w14:paraId="592FE5B2">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4300938B">
            <w:pPr>
              <w:rPr>
                <w:rFonts w:hint="eastAsia" w:ascii="宋体" w:eastAsia="宋体" w:cs="宋体"/>
                <w:i w:val="0"/>
                <w:iCs w:val="0"/>
                <w:color w:val="000000"/>
                <w:sz w:val="20"/>
                <w:szCs w:val="20"/>
                <w:u w:val="none"/>
              </w:rPr>
            </w:pPr>
          </w:p>
        </w:tc>
        <w:tc>
          <w:tcPr>
            <w:tcW w:w="1200" w:type="dxa"/>
            <w:gridSpan w:val="2"/>
            <w:tcBorders>
              <w:top w:val="nil"/>
              <w:left w:val="nil"/>
              <w:bottom w:val="nil"/>
              <w:right w:val="nil"/>
            </w:tcBorders>
            <w:shd w:val="clear" w:color="auto" w:fill="auto"/>
            <w:noWrap/>
            <w:vAlign w:val="center"/>
          </w:tcPr>
          <w:p w14:paraId="098AE767">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5DD2AEEA">
            <w:pPr>
              <w:rPr>
                <w:rFonts w:hint="eastAsia" w:ascii="宋体" w:eastAsia="宋体" w:cs="宋体"/>
                <w:i w:val="0"/>
                <w:iCs w:val="0"/>
                <w:color w:val="000000"/>
                <w:sz w:val="20"/>
                <w:szCs w:val="20"/>
                <w:u w:val="none"/>
              </w:rPr>
            </w:pPr>
          </w:p>
        </w:tc>
        <w:tc>
          <w:tcPr>
            <w:tcW w:w="1095" w:type="dxa"/>
            <w:gridSpan w:val="2"/>
            <w:tcBorders>
              <w:top w:val="nil"/>
              <w:left w:val="nil"/>
              <w:bottom w:val="nil"/>
              <w:right w:val="nil"/>
            </w:tcBorders>
            <w:shd w:val="clear" w:color="auto" w:fill="auto"/>
            <w:noWrap/>
            <w:vAlign w:val="center"/>
          </w:tcPr>
          <w:p w14:paraId="2E5E6D38">
            <w:pPr>
              <w:rPr>
                <w:rFonts w:hint="eastAsia" w:ascii="宋体" w:eastAsia="宋体" w:cs="宋体"/>
                <w:i w:val="0"/>
                <w:iCs w:val="0"/>
                <w:color w:val="000000"/>
                <w:sz w:val="20"/>
                <w:szCs w:val="20"/>
                <w:u w:val="none"/>
              </w:rPr>
            </w:pPr>
          </w:p>
        </w:tc>
        <w:tc>
          <w:tcPr>
            <w:tcW w:w="510" w:type="dxa"/>
            <w:gridSpan w:val="2"/>
            <w:tcBorders>
              <w:top w:val="nil"/>
              <w:left w:val="nil"/>
              <w:bottom w:val="nil"/>
              <w:right w:val="nil"/>
            </w:tcBorders>
            <w:shd w:val="clear" w:color="auto" w:fill="auto"/>
            <w:noWrap/>
            <w:vAlign w:val="center"/>
          </w:tcPr>
          <w:p w14:paraId="4501DABE">
            <w:pPr>
              <w:rPr>
                <w:rFonts w:hint="eastAsia" w:ascii="宋体" w:eastAsia="宋体" w:cs="宋体"/>
                <w:i w:val="0"/>
                <w:iCs w:val="0"/>
                <w:color w:val="000000"/>
                <w:sz w:val="20"/>
                <w:szCs w:val="20"/>
                <w:u w:val="none"/>
              </w:rPr>
            </w:pPr>
          </w:p>
        </w:tc>
        <w:tc>
          <w:tcPr>
            <w:tcW w:w="450" w:type="dxa"/>
            <w:tcBorders>
              <w:top w:val="nil"/>
              <w:left w:val="nil"/>
              <w:bottom w:val="nil"/>
              <w:right w:val="nil"/>
            </w:tcBorders>
            <w:shd w:val="clear" w:color="auto" w:fill="auto"/>
            <w:noWrap/>
            <w:vAlign w:val="center"/>
          </w:tcPr>
          <w:p w14:paraId="73B6F8A4">
            <w:pPr>
              <w:rPr>
                <w:rFonts w:hint="eastAsia" w:ascii="宋体" w:eastAsia="宋体" w:cs="宋体"/>
                <w:i w:val="0"/>
                <w:iCs w:val="0"/>
                <w:color w:val="000000"/>
                <w:sz w:val="20"/>
                <w:szCs w:val="20"/>
                <w:u w:val="none"/>
              </w:rPr>
            </w:pPr>
          </w:p>
        </w:tc>
        <w:tc>
          <w:tcPr>
            <w:tcW w:w="2145" w:type="dxa"/>
            <w:gridSpan w:val="2"/>
            <w:tcBorders>
              <w:top w:val="nil"/>
              <w:left w:val="nil"/>
              <w:bottom w:val="nil"/>
              <w:right w:val="nil"/>
            </w:tcBorders>
            <w:shd w:val="clear" w:color="auto" w:fill="auto"/>
            <w:noWrap/>
            <w:vAlign w:val="center"/>
          </w:tcPr>
          <w:p w14:paraId="68AF78EF">
            <w:pPr>
              <w:rPr>
                <w:rFonts w:hint="eastAsia" w:ascii="宋体" w:eastAsia="宋体" w:cs="宋体"/>
                <w:i w:val="0"/>
                <w:iCs w:val="0"/>
                <w:color w:val="000000"/>
                <w:sz w:val="20"/>
                <w:szCs w:val="20"/>
                <w:u w:val="none"/>
              </w:rPr>
            </w:pPr>
          </w:p>
        </w:tc>
      </w:tr>
      <w:tr w14:paraId="07547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A0C28">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328F6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27A1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B39C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51190025T000013682586-全国摄影工作会议相关活动</w:t>
            </w:r>
          </w:p>
        </w:tc>
      </w:tr>
      <w:tr w14:paraId="194DD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D943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77C4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0FE0DBD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202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巴中市文学艺术界联合会</w:t>
            </w:r>
          </w:p>
        </w:tc>
      </w:tr>
      <w:tr w14:paraId="74222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574E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9C4B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028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5C1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5366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B7694"/>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43D1"/>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F44F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文联副主席，中摄协主席团成员，省（自治区、直辖市）和新疆生产建设兵团文联分管领导、摄协负责人，全国57家中摄协团体会员单位、著名摄影家及媒体记者共计200余人将出席会议，会期四天三晚（含报到、会议、调研、摄影展、返程）。。经概算，交通费、住宿费、生活费、文创产品费、会务费及摄影作品展览费用等预计80万元。</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270B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这是该会议近年来首次落户西部地区，会议由中国文联、中国摄协领衔，全国省、自治区、直辖市和新疆建设兵团文联、摄协联动，57家团体会员响应，为全方位宣传巴中、提升城市知名度提供了历史性机遇。</w:t>
            </w:r>
          </w:p>
        </w:tc>
      </w:tr>
      <w:tr w14:paraId="352FF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CB35A"/>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305A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8978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由中国摄影家协会、四川省文学艺术界联合会、中共巴中市委、巴中市人民政府主办，中共巴中市委宣传部承办的2025年全国摄影工作会议于3月30日—4月2日在巴中召开，中国、中国摄协相关领导，以及中摄协主席团成员、各省（自治区、直辖市）文联副主席、全国57家中摄协团体会员单位、中国摄协职业道德建设委员会委员、中国摄协中层干部、著名摄影家及媒体记者近200人齐聚巴中，共襄摄影盛会、共谋文艺发展。此次会议会期共四天三晚（含报到、会议、摄影展、现场调研），“新时代中国摄影精品巡展（巴中站）”在巴州区巴城记忆文创产业园举行（展出作品包括《繁花竞放—深入生活扎根人民十年摄影精品展》及历届摄影界最高奖“金像奖”部分获奖作品）</w:t>
            </w:r>
          </w:p>
        </w:tc>
      </w:tr>
      <w:tr w14:paraId="4336D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50C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14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A72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432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923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9E4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FFA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DB2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06D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49D54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D4D0A"/>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D30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193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94F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54.04</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C68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54.04</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E4D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12B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638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D80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31F4F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BF637"/>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83A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C4B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57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54.04</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47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54.04</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8BC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299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F13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EF770"/>
        </w:tc>
      </w:tr>
      <w:tr w14:paraId="14997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31EC"/>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F1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D18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AF1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99C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A0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010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5C1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45A91"/>
        </w:tc>
      </w:tr>
      <w:tr w14:paraId="6D78B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84FB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F08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5AF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2C2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70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DE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F00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C34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642D"/>
        </w:tc>
      </w:tr>
      <w:tr w14:paraId="2D431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9D17"/>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CD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C3093">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3521">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1B7BD">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1A2F9">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1F0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33A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58A9"/>
        </w:tc>
      </w:tr>
      <w:tr w14:paraId="6BC9E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771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CB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9C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BC9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981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A3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6D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39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8DD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C5D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704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06F51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CC64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5D7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972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596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中国文联副主席，中摄协主席团成员，省（自治区、直辖市）和新疆生产建设兵团文联分管领导、摄协负责人，全国57家中摄协团体会员单位、著名摄影家及媒体记者等将出席会议</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AE3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2DC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F14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837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C12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B25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5B932">
            <w:pPr>
              <w:jc w:val="center"/>
              <w:rPr>
                <w:rFonts w:hint="eastAsia" w:ascii="宋体" w:eastAsia="宋体" w:cs="宋体"/>
                <w:i w:val="0"/>
                <w:iCs w:val="0"/>
                <w:color w:val="000000"/>
                <w:sz w:val="20"/>
                <w:szCs w:val="20"/>
                <w:u w:val="none"/>
              </w:rPr>
            </w:pPr>
          </w:p>
        </w:tc>
      </w:tr>
      <w:tr w14:paraId="5E26C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6FEC3"/>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E12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FC1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32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国摄影工作会议是全国摄影界的盛会，是中国摄影家协会指导部署全国摄影工作的重要会议。届时，中国文联、中国摄协相关领导，以及全国著名摄影家、全国57家中国摄协团体会员单位和媒体记者将汇聚一堂，共享摄影盛会、共谋文艺发展。</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DE3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B40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C4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2E3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F04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FE3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18</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59CD">
            <w:pPr>
              <w:jc w:val="center"/>
              <w:rPr>
                <w:rFonts w:hint="eastAsia" w:ascii="宋体" w:eastAsia="宋体" w:cs="宋体"/>
                <w:i w:val="0"/>
                <w:iCs w:val="0"/>
                <w:color w:val="000000"/>
                <w:sz w:val="20"/>
                <w:szCs w:val="20"/>
                <w:u w:val="none"/>
              </w:rPr>
            </w:pPr>
          </w:p>
        </w:tc>
      </w:tr>
      <w:tr w14:paraId="668FD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91CD1"/>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42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E4B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39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摄影工作者、摄影爱好者</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B48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55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AFC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DB1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AC7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BD9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3D504">
            <w:pPr>
              <w:jc w:val="center"/>
              <w:rPr>
                <w:rFonts w:hint="eastAsia" w:ascii="宋体" w:eastAsia="宋体" w:cs="宋体"/>
                <w:i w:val="0"/>
                <w:iCs w:val="0"/>
                <w:color w:val="000000"/>
                <w:sz w:val="20"/>
                <w:szCs w:val="20"/>
                <w:u w:val="none"/>
              </w:rPr>
            </w:pPr>
          </w:p>
        </w:tc>
      </w:tr>
      <w:tr w14:paraId="07F44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CE413"/>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38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A8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62F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交通费、住宿费、生活费、文创产品费、会务费及摄影作品展览费用等</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04B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D33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63.46</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9D7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C01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54.04</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E6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0C0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8E96">
            <w:pPr>
              <w:jc w:val="center"/>
              <w:rPr>
                <w:rFonts w:hint="eastAsia" w:ascii="宋体" w:eastAsia="宋体" w:cs="宋体"/>
                <w:i w:val="0"/>
                <w:iCs w:val="0"/>
                <w:color w:val="000000"/>
                <w:sz w:val="20"/>
                <w:szCs w:val="20"/>
                <w:u w:val="none"/>
              </w:rPr>
            </w:pPr>
          </w:p>
        </w:tc>
      </w:tr>
      <w:tr w14:paraId="04C0E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18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1B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5751A">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98</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AA1F">
            <w:pPr>
              <w:rPr>
                <w:rFonts w:hint="eastAsia" w:ascii="宋体" w:eastAsia="宋体" w:cs="宋体"/>
                <w:i w:val="0"/>
                <w:iCs w:val="0"/>
                <w:color w:val="000000"/>
                <w:sz w:val="20"/>
                <w:szCs w:val="20"/>
                <w:u w:val="none"/>
              </w:rPr>
            </w:pPr>
          </w:p>
        </w:tc>
      </w:tr>
      <w:tr w14:paraId="5EBAB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7C7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C7E9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这是该会议近年来首次落户西部地区，会议由中国文联、中国摄协领衔，全国省、自治区、直辖市和新疆建设兵团文联、摄协联动，57家团体会员响应，近200名摄影界领军人物云集巴中，共有40余名副厅级以上领导、19位金像奖获得者莅临现场，属历史上的突破，为全方位宣传巴中、提升城市知名度提供了历史性机遇。会议期间，“繁花竞放—新时代全国摄影精品巡展（巴中站）”在巴城记忆文创产业园盛大开展，巴中是此次国展在四川省内唯一巡展地。参展的150余件作品，精选自党的十八大以来中国摄协的重要品牌活动和重大主题展览，实现优质文化资源直达基层。全国摄影大会在巴召开有效提升了巴中知名度，产生连绵影响，为促进文旅事业带来更多发展机遇。</w:t>
            </w:r>
          </w:p>
        </w:tc>
      </w:tr>
      <w:tr w14:paraId="68BF9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33C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F608E">
            <w:pPr>
              <w:rPr>
                <w:rFonts w:hint="eastAsia" w:ascii="宋体" w:eastAsia="宋体" w:cs="宋体"/>
                <w:i w:val="0"/>
                <w:iCs w:val="0"/>
                <w:color w:val="000000"/>
                <w:sz w:val="20"/>
                <w:szCs w:val="20"/>
                <w:u w:val="none"/>
              </w:rPr>
            </w:pPr>
          </w:p>
        </w:tc>
      </w:tr>
      <w:tr w14:paraId="2EE86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BDF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61CA3">
            <w:pPr>
              <w:rPr>
                <w:rFonts w:hint="eastAsia" w:ascii="宋体" w:eastAsia="宋体" w:cs="宋体"/>
                <w:i w:val="0"/>
                <w:iCs w:val="0"/>
                <w:color w:val="000000"/>
                <w:sz w:val="20"/>
                <w:szCs w:val="20"/>
                <w:u w:val="none"/>
              </w:rPr>
            </w:pPr>
          </w:p>
        </w:tc>
      </w:tr>
      <w:tr w14:paraId="79388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CDF15">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18EDE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9F8F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D659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51190025T000013938320-第十二届巴人文化艺术节活动经费</w:t>
            </w:r>
          </w:p>
        </w:tc>
      </w:tr>
      <w:tr w14:paraId="2C442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17C9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BF63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263FD03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652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巴中市文学艺术界联合会</w:t>
            </w:r>
          </w:p>
        </w:tc>
      </w:tr>
      <w:tr w14:paraId="504BE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C29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11F8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DEE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DE1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04BBC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90606"/>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74D0D"/>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87CA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次展览汇聚来自全国及本土艺术家创作的300余幅作品，通过摄影、美术、书法三大艺术形式，以“光影巴中”“丹青巴中”“翰墨巴中”三个篇章，聚焦自然奇观，记录城乡发展新貌，抒写红色精神与诗意山水，形成强烈的视觉叙事，集中展现了巴中风采。充分展示巴中厚重的历史文化、独特的红色资源、壮美的自然风光及经济社会发展成果，</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AEEB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为第十二届巴人文化艺术节助力添彩：在四川美术馆举办“美丽中国 遇见巴中”大型摄影美术书法作品展，汇聚了来自全国及本土艺术家创作的300余幅作品，集中展现了巴中风采。各界人士共200余人参与启幕仪式，现场氛围热烈，展期共17天，总体呈现出席领导规格高、参与艺术家代表广、入展作品精、展呈艺术性强、观展人气旺等特点，实现以小切口获得地方大宣传的效果，赢得社会良好反响。</w:t>
            </w:r>
          </w:p>
        </w:tc>
      </w:tr>
      <w:tr w14:paraId="5C49E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12F27"/>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6411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1566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由四川省文学艺术界联合会、中共巴中市委、巴中市人民政府主办，四川美术馆、中共巴中市委宣传部、巴中市文学艺术界联合会承办，巴中市书法家协会、巴中市美术家协会、巴中市摄影家协会协办，按照第十二届巴人文化艺术节总体安排，为充分展示2025年全国摄影工作会议在巴召开的成果，全方位多角度记录巴中厚重的历史文化、独特的红色资源、壮美的自然风光，以及巴中干部群众大胆探索、勇于实践、创新创造的精神面貌，激发全市上下与全省一道高位推进“四化同步、城乡融合、五区共兴”发展战略，市委决定，在四川美术馆共同举办一次“美丽中国 遇见巴中”大型摄影美术书法作品展，以光影笔墨的形式展示、宣传、推介巴中</w:t>
            </w:r>
          </w:p>
        </w:tc>
      </w:tr>
      <w:tr w14:paraId="0AD3F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752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4A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CEF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1AD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CF9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9C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02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5F5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573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3748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06FE1"/>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A40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88E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819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28.80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2CA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28.80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4EE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3AC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93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42E6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4A584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73222"/>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072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6D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B34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28.80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C14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28.80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BA6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747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AAA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F5D5E"/>
        </w:tc>
      </w:tr>
      <w:tr w14:paraId="09867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E13B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F38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351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97D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18A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C34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F27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BCB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F063B"/>
        </w:tc>
      </w:tr>
      <w:tr w14:paraId="6F1D2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F4F7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5E7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78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94A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6A9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3B6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20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7A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C07F4"/>
        </w:tc>
      </w:tr>
      <w:tr w14:paraId="2C842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2ECA4"/>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81D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3FA1">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F731E">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05750">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000BC">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BC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D5E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18F88"/>
        </w:tc>
      </w:tr>
      <w:tr w14:paraId="0496E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916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59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2DE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A3F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2B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2F7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515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649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0D0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487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136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5FE72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B700A"/>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F36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74D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17255">
            <w:pPr>
              <w:keepNext w:val="0"/>
              <w:keepLines w:val="0"/>
              <w:widowControl/>
              <w:suppressLineNumbers w:val="0"/>
              <w:jc w:val="center"/>
              <w:textAlignment w:val="center"/>
              <w:rPr>
                <w:rFonts w:hint="eastAsia" w:ascii="宋体" w:eastAsia="宋体" w:cs="宋体"/>
                <w:i w:val="0"/>
                <w:iCs w:val="0"/>
                <w:color w:val="000000"/>
                <w:sz w:val="14"/>
                <w:szCs w:val="14"/>
                <w:u w:val="none"/>
              </w:rPr>
            </w:pPr>
            <w:r>
              <w:rPr>
                <w:rFonts w:hint="eastAsia" w:ascii="宋体" w:eastAsia="宋体" w:cs="宋体"/>
                <w:i w:val="0"/>
                <w:iCs w:val="0"/>
                <w:color w:val="000000"/>
                <w:kern w:val="0"/>
                <w:sz w:val="14"/>
                <w:szCs w:val="14"/>
                <w:u w:val="none"/>
                <w:lang w:val="en-US" w:eastAsia="zh-CN"/>
              </w:rPr>
              <w:t>以反映巴中本土的人文历史、红色文化、民俗风情、自然风光、产业发展、乡村振兴、城市新貌、交通建设等方面的摄影作品；全国书法名家以巴中元素为主题创作的作品以及赠送给巴中的书法作品，巴中本地书法家撰写的作品；全国美术名家以巴中元素为主题创作的作品以及赠送给巴中及本地创作的美术作品</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D1A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635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503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幅</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6D1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D97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D5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933D3">
            <w:pPr>
              <w:jc w:val="center"/>
              <w:rPr>
                <w:rFonts w:hint="eastAsia" w:ascii="宋体" w:eastAsia="宋体" w:cs="宋体"/>
                <w:i w:val="0"/>
                <w:iCs w:val="0"/>
                <w:color w:val="000000"/>
                <w:sz w:val="20"/>
                <w:szCs w:val="20"/>
                <w:u w:val="none"/>
              </w:rPr>
            </w:pPr>
          </w:p>
        </w:tc>
      </w:tr>
      <w:tr w14:paraId="6C11D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5AEFC"/>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E66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15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36BDE">
            <w:pPr>
              <w:keepNext w:val="0"/>
              <w:keepLines w:val="0"/>
              <w:widowControl/>
              <w:suppressLineNumbers w:val="0"/>
              <w:jc w:val="center"/>
              <w:textAlignment w:val="center"/>
              <w:rPr>
                <w:rFonts w:hint="eastAsia" w:ascii="宋体" w:eastAsia="宋体" w:cs="宋体"/>
                <w:i w:val="0"/>
                <w:iCs w:val="0"/>
                <w:color w:val="000000"/>
                <w:sz w:val="14"/>
                <w:szCs w:val="14"/>
                <w:u w:val="none"/>
              </w:rPr>
            </w:pPr>
            <w:r>
              <w:rPr>
                <w:rFonts w:hint="eastAsia" w:ascii="宋体" w:eastAsia="宋体" w:cs="宋体"/>
                <w:i w:val="0"/>
                <w:iCs w:val="0"/>
                <w:color w:val="000000"/>
                <w:kern w:val="0"/>
                <w:sz w:val="14"/>
                <w:szCs w:val="14"/>
                <w:u w:val="none"/>
                <w:lang w:val="en-US" w:eastAsia="zh-CN"/>
              </w:rPr>
              <w:t>4月30日上午展览在四川美术馆正式启幕。省人大常委会副主任罗强，省人大原副主任，省文联主席，省文联党组等领导和嘉宾出席开展仪式。出席开展仪式的还有省书协、省摄协、省美协及四川美术馆相关负责人，巴中籍和曾在巴中工作过的老领导、艺术家代表、新文艺群体、入媒体人士等200余人共同参与，现场气氛热烈。</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E3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114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49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1EF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230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391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CB58">
            <w:pPr>
              <w:jc w:val="center"/>
              <w:rPr>
                <w:rFonts w:hint="eastAsia" w:ascii="宋体" w:eastAsia="宋体" w:cs="宋体"/>
                <w:i w:val="0"/>
                <w:iCs w:val="0"/>
                <w:color w:val="000000"/>
                <w:sz w:val="20"/>
                <w:szCs w:val="20"/>
                <w:u w:val="none"/>
              </w:rPr>
            </w:pPr>
          </w:p>
        </w:tc>
      </w:tr>
      <w:tr w14:paraId="7E8F0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DB34B"/>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9D5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F4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6D8EA">
            <w:pPr>
              <w:keepNext w:val="0"/>
              <w:keepLines w:val="0"/>
              <w:widowControl/>
              <w:suppressLineNumbers w:val="0"/>
              <w:jc w:val="center"/>
              <w:textAlignment w:val="center"/>
              <w:rPr>
                <w:rFonts w:hint="eastAsia" w:ascii="宋体" w:eastAsia="宋体" w:cs="宋体"/>
                <w:i w:val="0"/>
                <w:iCs w:val="0"/>
                <w:color w:val="000000"/>
                <w:sz w:val="14"/>
                <w:szCs w:val="14"/>
                <w:u w:val="none"/>
              </w:rPr>
            </w:pPr>
            <w:r>
              <w:rPr>
                <w:rFonts w:hint="eastAsia" w:ascii="宋体" w:eastAsia="宋体" w:cs="宋体"/>
                <w:i w:val="0"/>
                <w:iCs w:val="0"/>
                <w:color w:val="000000"/>
                <w:kern w:val="0"/>
                <w:sz w:val="14"/>
                <w:szCs w:val="14"/>
                <w:u w:val="none"/>
                <w:lang w:val="en-US" w:eastAsia="zh-CN"/>
              </w:rPr>
              <w:t>展览时间涵盖了“五一黄金周”，吸引了大量成都及外地来蓉游客参观。观展人数达4.8万人（五一5天观展人数达14177人）。各大媒体同步开展网络宣传。仅5月15日21时中新网发布《“美丽中国 遇见巴中”大型摄影美术书法作品展成功举行》，，达21.4万浏览量，让更多的人通过线上线下认识巴中、欣赏巴中。</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240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EE3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89C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人次</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63E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422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96A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67F03">
            <w:pPr>
              <w:jc w:val="center"/>
              <w:rPr>
                <w:rFonts w:hint="eastAsia" w:ascii="宋体" w:eastAsia="宋体" w:cs="宋体"/>
                <w:i w:val="0"/>
                <w:iCs w:val="0"/>
                <w:color w:val="000000"/>
                <w:sz w:val="20"/>
                <w:szCs w:val="20"/>
                <w:u w:val="none"/>
              </w:rPr>
            </w:pPr>
          </w:p>
        </w:tc>
      </w:tr>
      <w:tr w14:paraId="3FCCC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B3D1F"/>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CC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BB9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746F2">
            <w:pPr>
              <w:keepNext w:val="0"/>
              <w:keepLines w:val="0"/>
              <w:widowControl/>
              <w:suppressLineNumbers w:val="0"/>
              <w:jc w:val="center"/>
              <w:textAlignment w:val="center"/>
              <w:rPr>
                <w:rFonts w:hint="eastAsia" w:ascii="宋体" w:eastAsia="宋体" w:cs="宋体"/>
                <w:i w:val="0"/>
                <w:iCs w:val="0"/>
                <w:color w:val="000000"/>
                <w:sz w:val="14"/>
                <w:szCs w:val="14"/>
                <w:u w:val="none"/>
              </w:rPr>
            </w:pPr>
            <w:r>
              <w:rPr>
                <w:rFonts w:hint="eastAsia" w:ascii="宋体" w:eastAsia="宋体" w:cs="宋体"/>
                <w:i w:val="0"/>
                <w:iCs w:val="0"/>
                <w:color w:val="000000"/>
                <w:kern w:val="0"/>
                <w:sz w:val="14"/>
                <w:szCs w:val="14"/>
                <w:u w:val="none"/>
                <w:lang w:val="en-US" w:eastAsia="zh-CN"/>
              </w:rPr>
              <w:t>展览设计（包括平面及展览空间设计），作品扫描、输出、装裱，布展撤展（包括展墙及其它配套设施），开幕式， 作品集（包括设计、印刷制作），作品运输及保险</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5BC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0F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288000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99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9DE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28800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AAD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95C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ED5FD">
            <w:pPr>
              <w:jc w:val="center"/>
              <w:rPr>
                <w:rFonts w:hint="eastAsia" w:ascii="宋体" w:eastAsia="宋体" w:cs="宋体"/>
                <w:i w:val="0"/>
                <w:iCs w:val="0"/>
                <w:color w:val="000000"/>
                <w:sz w:val="20"/>
                <w:szCs w:val="20"/>
                <w:u w:val="none"/>
              </w:rPr>
            </w:pPr>
          </w:p>
        </w:tc>
      </w:tr>
      <w:tr w14:paraId="02D65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D5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89C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6BABA">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79D59">
            <w:pPr>
              <w:rPr>
                <w:rFonts w:hint="eastAsia" w:ascii="宋体" w:eastAsia="宋体" w:cs="宋体"/>
                <w:i w:val="0"/>
                <w:iCs w:val="0"/>
                <w:color w:val="000000"/>
                <w:sz w:val="20"/>
                <w:szCs w:val="20"/>
                <w:u w:val="none"/>
              </w:rPr>
            </w:pPr>
          </w:p>
        </w:tc>
      </w:tr>
      <w:tr w14:paraId="0143C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895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CB59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按照第十二届巴人文化艺术节总体安排，2025年5月15日，由四川省文联与巴中市委、巴中市人民政府联合在四川美术馆主办的 “美丽中国 遇见巴中”大型摄影美术书法作品展圆满收官。本次展览展览历时17天（不含布展时间），从现场效果看，本次展览呈现出席领导规格高、参与艺术家代表广、入展作品精、展呈艺术性强、观展人气旺等特点，实现以小切口获得地方大宣传的效果，赢得社会良好反响。</w:t>
            </w:r>
          </w:p>
        </w:tc>
      </w:tr>
      <w:tr w14:paraId="16AAE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95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192E4">
            <w:pPr>
              <w:rPr>
                <w:rFonts w:hint="eastAsia" w:ascii="宋体" w:eastAsia="宋体" w:cs="宋体"/>
                <w:i w:val="0"/>
                <w:iCs w:val="0"/>
                <w:color w:val="000000"/>
                <w:sz w:val="20"/>
                <w:szCs w:val="20"/>
                <w:u w:val="none"/>
              </w:rPr>
            </w:pPr>
          </w:p>
        </w:tc>
      </w:tr>
      <w:tr w14:paraId="63131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109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B8BC2">
            <w:pPr>
              <w:rPr>
                <w:rFonts w:hint="eastAsia" w:ascii="宋体" w:eastAsia="宋体" w:cs="宋体"/>
                <w:i w:val="0"/>
                <w:iCs w:val="0"/>
                <w:color w:val="000000"/>
                <w:sz w:val="20"/>
                <w:szCs w:val="20"/>
                <w:u w:val="none"/>
              </w:rPr>
            </w:pPr>
          </w:p>
        </w:tc>
      </w:tr>
      <w:tr w14:paraId="70006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4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43AB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项目负责人：孙国贤</w:t>
            </w:r>
          </w:p>
        </w:tc>
        <w:tc>
          <w:tcPr>
            <w:tcW w:w="592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A428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财务负责人：岳鹏</w:t>
            </w:r>
          </w:p>
        </w:tc>
      </w:tr>
      <w:tr w14:paraId="59EF7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58542">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046BE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55E5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A27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51190025T000012389019-巴中市文学艺术创作基地</w:t>
            </w:r>
          </w:p>
        </w:tc>
      </w:tr>
      <w:tr w14:paraId="2F54F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4CA0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69E9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40CF2D9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19D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巴中市作家协会</w:t>
            </w:r>
          </w:p>
        </w:tc>
      </w:tr>
      <w:tr w14:paraId="3F881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AC33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1C74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B4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E95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2B58F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9478"/>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AED7"/>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9500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搭建文艺骨干人才培养和创作交流平台，推动文艺事业繁荣发展，经请示市委市政府主要领导同意，市委宣传部牵头推动建设巴中市文学艺术创作基地项目。建设巴中市文学艺术创作基地，作为“文艺两新”重要工作平台，孵化创作文艺精品、打造文化活动品牌、培养文艺创新人才，推动文化创造性转化与创新性发展，推动全市文艺事业繁荣。建设功能齐全的散文、诗歌、小说、网络文学、红学研究，书法、美术、摄影、音乐舞蹈曲艺、民间文艺和诗词楹联等创作室，配套文艺家活动室，并对周边配套设施进行简单提升优化。</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B95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已完成2024年“巴中市文学创作基地”办公设备购置项目8.5万元的支付</w:t>
            </w:r>
          </w:p>
        </w:tc>
      </w:tr>
      <w:tr w14:paraId="2E642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F53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AF62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68C1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该项目为2024年延续，目前已完成支付。</w:t>
            </w:r>
          </w:p>
        </w:tc>
      </w:tr>
      <w:tr w14:paraId="487E0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E61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0F2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BF9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16C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CCB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CF4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F26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828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860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39288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19291"/>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BDB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7B8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8.50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C75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60.65</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D28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60.65</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828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5D6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0EF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345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预算执行率100%。资金全部用于巴中市文学创作基地办公设备购置、设施优化等项目相关支出</w:t>
            </w:r>
          </w:p>
        </w:tc>
      </w:tr>
      <w:tr w14:paraId="5093D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1C93"/>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E5E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8A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8.50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15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60.65</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DA2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60.65</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4CD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6FF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CF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7D49D"/>
        </w:tc>
      </w:tr>
      <w:tr w14:paraId="3F383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2910B"/>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666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457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703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9E1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E6D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D3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E04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7E528"/>
        </w:tc>
      </w:tr>
      <w:tr w14:paraId="737DD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C63F"/>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BF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EB8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80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07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39B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D2D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22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924D8"/>
        </w:tc>
      </w:tr>
      <w:tr w14:paraId="3A278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E7548"/>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34B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D1692">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EEF63">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308F3">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D834A">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2BF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6DD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12BB6"/>
        </w:tc>
      </w:tr>
      <w:tr w14:paraId="7F462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882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633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A1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D2F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95C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F4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C4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746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C02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693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34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406A9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BF4D1"/>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E9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B18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A9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文艺精品创作</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A59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718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348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件</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683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B2C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499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DD1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170F5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8200F"/>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25F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061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4AD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人才培养</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1E9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148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5D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人/次</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521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6D8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C05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A77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16512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9AC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15B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C6F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288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广大文艺工作者</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A1C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B99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1A5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B52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B1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43C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668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085C5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B82C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3AC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525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4C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文艺基地建设</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C4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50D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118</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A40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7E2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DE7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D68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36F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0A448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0F6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A30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FD3FE">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FEA7">
            <w:pPr>
              <w:rPr>
                <w:rFonts w:hint="eastAsia" w:ascii="宋体" w:eastAsia="宋体" w:cs="宋体"/>
                <w:i w:val="0"/>
                <w:iCs w:val="0"/>
                <w:color w:val="000000"/>
                <w:sz w:val="20"/>
                <w:szCs w:val="20"/>
                <w:u w:val="none"/>
              </w:rPr>
            </w:pPr>
          </w:p>
        </w:tc>
      </w:tr>
      <w:tr w14:paraId="223C2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F0C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113F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通过巴中市文学艺术创作基地项目结束了巴中市无文学艺术创作阵地的历史，繁荣发展了文化事业和文化产业，培育造就大批德艺双馨的文学艺术家和规模宏大的文化文艺人才队伍。《巴中市“十四五”文化发展和改革规划》作出搭建“文艺两新”（新文艺组织和新文艺群体）工作平台的工作部署。为搭建文艺骨干人才培养和创作交流平台，推动文学事业繁荣发展。</w:t>
            </w:r>
          </w:p>
        </w:tc>
      </w:tr>
      <w:tr w14:paraId="5119E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5A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AFAF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不同艺术门类的创作空间利用不均衡，部分功能区域的使用效率有待优化。</w:t>
            </w:r>
          </w:p>
        </w:tc>
      </w:tr>
      <w:tr w14:paraId="3CC40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12C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D15E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优化基地空间功能布局，统筹各类创作空间的使用管理。</w:t>
            </w:r>
          </w:p>
        </w:tc>
      </w:tr>
      <w:tr w14:paraId="05192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nil"/>
              <w:left w:val="nil"/>
              <w:bottom w:val="nil"/>
              <w:right w:val="nil"/>
            </w:tcBorders>
            <w:shd w:val="clear" w:color="auto" w:fill="auto"/>
            <w:noWrap/>
            <w:vAlign w:val="center"/>
          </w:tcPr>
          <w:p w14:paraId="3387ABF2">
            <w:pPr>
              <w:rPr>
                <w:rFonts w:hint="eastAsia" w:ascii="宋体" w:eastAsia="宋体" w:cs="宋体"/>
                <w:i w:val="0"/>
                <w:iCs w:val="0"/>
                <w:color w:val="000000"/>
                <w:sz w:val="20"/>
                <w:szCs w:val="20"/>
                <w:u w:val="none"/>
              </w:rPr>
            </w:pPr>
          </w:p>
        </w:tc>
        <w:tc>
          <w:tcPr>
            <w:tcW w:w="1590" w:type="dxa"/>
            <w:gridSpan w:val="2"/>
            <w:tcBorders>
              <w:top w:val="nil"/>
              <w:left w:val="nil"/>
              <w:bottom w:val="nil"/>
              <w:right w:val="nil"/>
            </w:tcBorders>
            <w:shd w:val="clear" w:color="auto" w:fill="auto"/>
            <w:noWrap/>
            <w:vAlign w:val="center"/>
          </w:tcPr>
          <w:p w14:paraId="3E124755">
            <w:pPr>
              <w:rPr>
                <w:rFonts w:hint="eastAsia" w:ascii="宋体" w:eastAsia="宋体" w:cs="宋体"/>
                <w:i w:val="0"/>
                <w:iCs w:val="0"/>
                <w:color w:val="000000"/>
                <w:sz w:val="20"/>
                <w:szCs w:val="20"/>
                <w:u w:val="none"/>
              </w:rPr>
            </w:pPr>
          </w:p>
        </w:tc>
        <w:tc>
          <w:tcPr>
            <w:tcW w:w="1770" w:type="dxa"/>
            <w:gridSpan w:val="2"/>
            <w:tcBorders>
              <w:top w:val="nil"/>
              <w:left w:val="nil"/>
              <w:bottom w:val="nil"/>
              <w:right w:val="nil"/>
            </w:tcBorders>
            <w:shd w:val="clear" w:color="auto" w:fill="auto"/>
            <w:noWrap/>
            <w:vAlign w:val="center"/>
          </w:tcPr>
          <w:p w14:paraId="10A00ECB">
            <w:pPr>
              <w:rPr>
                <w:rFonts w:hint="eastAsia" w:ascii="宋体" w:eastAsia="宋体" w:cs="宋体"/>
                <w:i w:val="0"/>
                <w:iCs w:val="0"/>
                <w:color w:val="000000"/>
                <w:sz w:val="20"/>
                <w:szCs w:val="20"/>
                <w:u w:val="none"/>
              </w:rPr>
            </w:pPr>
          </w:p>
        </w:tc>
        <w:tc>
          <w:tcPr>
            <w:tcW w:w="2265" w:type="dxa"/>
            <w:gridSpan w:val="2"/>
            <w:tcBorders>
              <w:top w:val="nil"/>
              <w:left w:val="nil"/>
              <w:bottom w:val="nil"/>
              <w:right w:val="nil"/>
            </w:tcBorders>
            <w:shd w:val="clear" w:color="auto" w:fill="auto"/>
            <w:noWrap/>
            <w:vAlign w:val="center"/>
          </w:tcPr>
          <w:p w14:paraId="167D6565">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17AF6E0C">
            <w:pPr>
              <w:rPr>
                <w:rFonts w:hint="eastAsia" w:ascii="宋体" w:eastAsia="宋体" w:cs="宋体"/>
                <w:i w:val="0"/>
                <w:iCs w:val="0"/>
                <w:color w:val="000000"/>
                <w:sz w:val="20"/>
                <w:szCs w:val="20"/>
                <w:u w:val="none"/>
              </w:rPr>
            </w:pPr>
          </w:p>
        </w:tc>
        <w:tc>
          <w:tcPr>
            <w:tcW w:w="1200" w:type="dxa"/>
            <w:gridSpan w:val="2"/>
            <w:tcBorders>
              <w:top w:val="nil"/>
              <w:left w:val="nil"/>
              <w:bottom w:val="nil"/>
              <w:right w:val="nil"/>
            </w:tcBorders>
            <w:shd w:val="clear" w:color="auto" w:fill="auto"/>
            <w:noWrap/>
            <w:vAlign w:val="center"/>
          </w:tcPr>
          <w:p w14:paraId="28C54352">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101D65C5">
            <w:pPr>
              <w:rPr>
                <w:rFonts w:hint="eastAsia" w:ascii="宋体" w:eastAsia="宋体" w:cs="宋体"/>
                <w:i w:val="0"/>
                <w:iCs w:val="0"/>
                <w:color w:val="000000"/>
                <w:sz w:val="20"/>
                <w:szCs w:val="20"/>
                <w:u w:val="none"/>
              </w:rPr>
            </w:pPr>
          </w:p>
        </w:tc>
        <w:tc>
          <w:tcPr>
            <w:tcW w:w="1095" w:type="dxa"/>
            <w:gridSpan w:val="2"/>
            <w:tcBorders>
              <w:top w:val="nil"/>
              <w:left w:val="nil"/>
              <w:bottom w:val="nil"/>
              <w:right w:val="nil"/>
            </w:tcBorders>
            <w:shd w:val="clear" w:color="auto" w:fill="auto"/>
            <w:noWrap/>
            <w:vAlign w:val="center"/>
          </w:tcPr>
          <w:p w14:paraId="788002D9">
            <w:pPr>
              <w:rPr>
                <w:rFonts w:hint="eastAsia" w:ascii="宋体" w:eastAsia="宋体" w:cs="宋体"/>
                <w:i w:val="0"/>
                <w:iCs w:val="0"/>
                <w:color w:val="000000"/>
                <w:sz w:val="20"/>
                <w:szCs w:val="20"/>
                <w:u w:val="none"/>
              </w:rPr>
            </w:pPr>
          </w:p>
        </w:tc>
        <w:tc>
          <w:tcPr>
            <w:tcW w:w="510" w:type="dxa"/>
            <w:gridSpan w:val="2"/>
            <w:tcBorders>
              <w:top w:val="nil"/>
              <w:left w:val="nil"/>
              <w:bottom w:val="nil"/>
              <w:right w:val="nil"/>
            </w:tcBorders>
            <w:shd w:val="clear" w:color="auto" w:fill="auto"/>
            <w:noWrap/>
            <w:vAlign w:val="center"/>
          </w:tcPr>
          <w:p w14:paraId="276B31D7">
            <w:pPr>
              <w:rPr>
                <w:rFonts w:hint="eastAsia" w:ascii="宋体" w:eastAsia="宋体" w:cs="宋体"/>
                <w:i w:val="0"/>
                <w:iCs w:val="0"/>
                <w:color w:val="000000"/>
                <w:sz w:val="20"/>
                <w:szCs w:val="20"/>
                <w:u w:val="none"/>
              </w:rPr>
            </w:pPr>
          </w:p>
        </w:tc>
        <w:tc>
          <w:tcPr>
            <w:tcW w:w="450" w:type="dxa"/>
            <w:tcBorders>
              <w:top w:val="nil"/>
              <w:left w:val="nil"/>
              <w:bottom w:val="nil"/>
              <w:right w:val="nil"/>
            </w:tcBorders>
            <w:shd w:val="clear" w:color="auto" w:fill="auto"/>
            <w:noWrap/>
            <w:vAlign w:val="center"/>
          </w:tcPr>
          <w:p w14:paraId="4621C943">
            <w:pPr>
              <w:rPr>
                <w:rFonts w:hint="eastAsia" w:ascii="宋体" w:eastAsia="宋体" w:cs="宋体"/>
                <w:i w:val="0"/>
                <w:iCs w:val="0"/>
                <w:color w:val="000000"/>
                <w:sz w:val="20"/>
                <w:szCs w:val="20"/>
                <w:u w:val="none"/>
              </w:rPr>
            </w:pPr>
          </w:p>
        </w:tc>
        <w:tc>
          <w:tcPr>
            <w:tcW w:w="2145" w:type="dxa"/>
            <w:gridSpan w:val="2"/>
            <w:tcBorders>
              <w:top w:val="nil"/>
              <w:left w:val="nil"/>
              <w:bottom w:val="nil"/>
              <w:right w:val="nil"/>
            </w:tcBorders>
            <w:shd w:val="clear" w:color="auto" w:fill="auto"/>
            <w:noWrap/>
            <w:vAlign w:val="center"/>
          </w:tcPr>
          <w:p w14:paraId="363CAD75">
            <w:pPr>
              <w:rPr>
                <w:rFonts w:hint="eastAsia" w:ascii="宋体" w:eastAsia="宋体" w:cs="宋体"/>
                <w:i w:val="0"/>
                <w:iCs w:val="0"/>
                <w:color w:val="000000"/>
                <w:sz w:val="20"/>
                <w:szCs w:val="20"/>
                <w:u w:val="none"/>
              </w:rPr>
            </w:pPr>
          </w:p>
        </w:tc>
      </w:tr>
      <w:tr w14:paraId="602ED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B1471">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2C9C2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E13B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3818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51190025T000013196449-2025年年初部门预算特定目标类项目203004市作协巴中文学编辑排版印刷稿酬经费</w:t>
            </w:r>
          </w:p>
        </w:tc>
      </w:tr>
      <w:tr w14:paraId="6CECF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DF8A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491C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5E00496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B82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巴中市作家协会</w:t>
            </w:r>
          </w:p>
        </w:tc>
      </w:tr>
      <w:tr w14:paraId="554F1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D308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D591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87C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EFD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65B84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16C9D"/>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ABE8B"/>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ACE1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目标1：刊物的宗旨和主要职责是坚持为人民服务、为社会主义服务的方向，贯彻百花齐放、百家争鸣的方针，弘扬主旋律，提倡多样化，为繁荣巴中的文学事业多出作品，多出人才，积极推进巴中全面建设川陕革命老区示范区建设。</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目标2：面向广大读者和作者，服务范围包括作者的作品修改、发表，举办文学讲座与辅导业余作者，开展文学作品展示推广和文学笔会等。</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B4CB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已完成2025年《巴中文学》编辑排版印制及赠阅等工作</w:t>
            </w:r>
          </w:p>
        </w:tc>
      </w:tr>
      <w:tr w14:paraId="39323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2AC86"/>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22BE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DB19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全年完成4期，每期1500册的编辑、排版、印刷及赠阅等，共刊载各类文学作品500余件。推动巴中文学事业繁荣发展，提振巴中本地作家创作激情，营造勇攀高峰的良好氛围。</w:t>
            </w:r>
          </w:p>
        </w:tc>
      </w:tr>
      <w:tr w14:paraId="2D81A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7DD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1F3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AAC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00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BFD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660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0D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793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B3F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9DF4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E2C0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323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DD63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16.00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B0C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15.22</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664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15.25</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758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100.24%</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BB3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725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67EF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资金全部用于《巴中文学》编辑、印刷、稿酬、运输等项目相关支出，专款专用，资金使用合规。</w:t>
            </w:r>
          </w:p>
        </w:tc>
      </w:tr>
      <w:tr w14:paraId="362FE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EB71B"/>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014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CC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16.00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91B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15.22</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312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15.25</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04C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100.24%</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543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995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84C14"/>
        </w:tc>
      </w:tr>
      <w:tr w14:paraId="5899E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E1FB9"/>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F65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EE7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7C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514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64A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89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D1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4767"/>
        </w:tc>
      </w:tr>
      <w:tr w14:paraId="5883B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1CFFA"/>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6D8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5BE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F9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D68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755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83A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AD8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5837B"/>
        </w:tc>
      </w:tr>
      <w:tr w14:paraId="3BEA0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6B8F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3BC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3C311">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89A3">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3BB10">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33F38">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CD5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543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ECDFA"/>
        </w:tc>
      </w:tr>
      <w:tr w14:paraId="000D3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B01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545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90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8ED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898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04F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B4B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8D1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6E9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3FD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DFB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02FB5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5C02A"/>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5C8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956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F49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刊载各类文学作品</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F6D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997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C91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件</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58B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F9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654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A3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682AF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C4A73"/>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BF17C"/>
        </w:tc>
        <w:tc>
          <w:tcPr>
            <w:tcW w:w="17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CA0C5"/>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69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季刊，每年四期，每期1500册</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F48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34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BD3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册</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28A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0E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F38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14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0F194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66901"/>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1503"/>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30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质量指标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85A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封面300克铜版纸覆哑膜、内页157克哑粉纸全彩、锁线胶装</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76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076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AD7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册/期</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777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6CA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BC2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216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085D7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B93E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B42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9F0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53B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吸引广大文学工作者、爱好者关注巴中文学事业；促进文学事业良性、健康发展</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86C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74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12000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D0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C79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285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3F0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60B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77A85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63DE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764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AEC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41C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广大文学创作者、文学爱好者</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C0C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6A2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426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456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4CF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AF9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8E8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022B5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CF4B3"/>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E27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EAF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A27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编辑、印制、设计、稿酬、邮寄、运输等</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65D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D7A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16</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9B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90D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16</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B3D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C5A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E78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7D4CD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DC8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73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A777">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6E53C">
            <w:pPr>
              <w:rPr>
                <w:rFonts w:hint="eastAsia" w:ascii="宋体" w:eastAsia="宋体" w:cs="宋体"/>
                <w:i w:val="0"/>
                <w:iCs w:val="0"/>
                <w:color w:val="000000"/>
                <w:sz w:val="20"/>
                <w:szCs w:val="20"/>
                <w:u w:val="none"/>
              </w:rPr>
            </w:pPr>
          </w:p>
        </w:tc>
      </w:tr>
      <w:tr w14:paraId="7C855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238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8DCA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按照全国作协、四川省作协和市委市政府对作协工作要求，紧扣新时代巴中主题，推动文学作品创作。《巴中文学》不仅是地域文明的载体，也通过文艺创作与群众活动深度结合，实现了从“小众创作”到“全民参与”的转变。</w:t>
            </w:r>
          </w:p>
        </w:tc>
      </w:tr>
      <w:tr w14:paraId="572E8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F0B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75D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部分基层作者的作品打磨、修改辅导服务不足。</w:t>
            </w:r>
          </w:p>
        </w:tc>
      </w:tr>
      <w:tr w14:paraId="59034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CA0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41EA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建立基层作者辅导机制，定期开展作品点评、改稿辅导活动，提升本土作者的创作水平。</w:t>
            </w:r>
          </w:p>
        </w:tc>
      </w:tr>
      <w:tr w14:paraId="0805F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nil"/>
              <w:left w:val="nil"/>
              <w:bottom w:val="nil"/>
              <w:right w:val="nil"/>
            </w:tcBorders>
            <w:shd w:val="clear" w:color="auto" w:fill="auto"/>
            <w:noWrap/>
            <w:vAlign w:val="center"/>
          </w:tcPr>
          <w:p w14:paraId="125A79E7">
            <w:pPr>
              <w:rPr>
                <w:rFonts w:hint="eastAsia" w:ascii="宋体" w:eastAsia="宋体" w:cs="宋体"/>
                <w:i w:val="0"/>
                <w:iCs w:val="0"/>
                <w:color w:val="000000"/>
                <w:sz w:val="20"/>
                <w:szCs w:val="20"/>
                <w:u w:val="none"/>
              </w:rPr>
            </w:pPr>
          </w:p>
        </w:tc>
        <w:tc>
          <w:tcPr>
            <w:tcW w:w="1590" w:type="dxa"/>
            <w:gridSpan w:val="2"/>
            <w:tcBorders>
              <w:top w:val="nil"/>
              <w:left w:val="nil"/>
              <w:bottom w:val="nil"/>
              <w:right w:val="nil"/>
            </w:tcBorders>
            <w:shd w:val="clear" w:color="auto" w:fill="auto"/>
            <w:noWrap/>
            <w:vAlign w:val="center"/>
          </w:tcPr>
          <w:p w14:paraId="41FCD3AA">
            <w:pPr>
              <w:rPr>
                <w:rFonts w:hint="eastAsia" w:ascii="宋体" w:eastAsia="宋体" w:cs="宋体"/>
                <w:i w:val="0"/>
                <w:iCs w:val="0"/>
                <w:color w:val="000000"/>
                <w:sz w:val="20"/>
                <w:szCs w:val="20"/>
                <w:u w:val="none"/>
              </w:rPr>
            </w:pPr>
          </w:p>
        </w:tc>
        <w:tc>
          <w:tcPr>
            <w:tcW w:w="1770" w:type="dxa"/>
            <w:gridSpan w:val="2"/>
            <w:tcBorders>
              <w:top w:val="nil"/>
              <w:left w:val="nil"/>
              <w:bottom w:val="nil"/>
              <w:right w:val="nil"/>
            </w:tcBorders>
            <w:shd w:val="clear" w:color="auto" w:fill="auto"/>
            <w:noWrap/>
            <w:vAlign w:val="center"/>
          </w:tcPr>
          <w:p w14:paraId="1B81F9BD">
            <w:pPr>
              <w:rPr>
                <w:rFonts w:hint="eastAsia" w:ascii="宋体" w:eastAsia="宋体" w:cs="宋体"/>
                <w:i w:val="0"/>
                <w:iCs w:val="0"/>
                <w:color w:val="000000"/>
                <w:sz w:val="20"/>
                <w:szCs w:val="20"/>
                <w:u w:val="none"/>
              </w:rPr>
            </w:pPr>
          </w:p>
        </w:tc>
        <w:tc>
          <w:tcPr>
            <w:tcW w:w="2265" w:type="dxa"/>
            <w:gridSpan w:val="2"/>
            <w:tcBorders>
              <w:top w:val="nil"/>
              <w:left w:val="nil"/>
              <w:bottom w:val="nil"/>
              <w:right w:val="nil"/>
            </w:tcBorders>
            <w:shd w:val="clear" w:color="auto" w:fill="auto"/>
            <w:noWrap/>
            <w:vAlign w:val="center"/>
          </w:tcPr>
          <w:p w14:paraId="2115F2AA">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11566B52">
            <w:pPr>
              <w:rPr>
                <w:rFonts w:hint="eastAsia" w:ascii="宋体" w:eastAsia="宋体" w:cs="宋体"/>
                <w:i w:val="0"/>
                <w:iCs w:val="0"/>
                <w:color w:val="000000"/>
                <w:sz w:val="20"/>
                <w:szCs w:val="20"/>
                <w:u w:val="none"/>
              </w:rPr>
            </w:pPr>
          </w:p>
        </w:tc>
        <w:tc>
          <w:tcPr>
            <w:tcW w:w="1200" w:type="dxa"/>
            <w:gridSpan w:val="2"/>
            <w:tcBorders>
              <w:top w:val="nil"/>
              <w:left w:val="nil"/>
              <w:bottom w:val="nil"/>
              <w:right w:val="nil"/>
            </w:tcBorders>
            <w:shd w:val="clear" w:color="auto" w:fill="auto"/>
            <w:noWrap/>
            <w:vAlign w:val="center"/>
          </w:tcPr>
          <w:p w14:paraId="7CC16A6D">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63F936C9">
            <w:pPr>
              <w:rPr>
                <w:rFonts w:hint="eastAsia" w:ascii="宋体" w:eastAsia="宋体" w:cs="宋体"/>
                <w:i w:val="0"/>
                <w:iCs w:val="0"/>
                <w:color w:val="000000"/>
                <w:sz w:val="20"/>
                <w:szCs w:val="20"/>
                <w:u w:val="none"/>
              </w:rPr>
            </w:pPr>
          </w:p>
        </w:tc>
        <w:tc>
          <w:tcPr>
            <w:tcW w:w="1095" w:type="dxa"/>
            <w:gridSpan w:val="2"/>
            <w:tcBorders>
              <w:top w:val="nil"/>
              <w:left w:val="nil"/>
              <w:bottom w:val="nil"/>
              <w:right w:val="nil"/>
            </w:tcBorders>
            <w:shd w:val="clear" w:color="auto" w:fill="auto"/>
            <w:noWrap/>
            <w:vAlign w:val="center"/>
          </w:tcPr>
          <w:p w14:paraId="2A15CBD6">
            <w:pPr>
              <w:rPr>
                <w:rFonts w:hint="eastAsia" w:ascii="宋体" w:eastAsia="宋体" w:cs="宋体"/>
                <w:i w:val="0"/>
                <w:iCs w:val="0"/>
                <w:color w:val="000000"/>
                <w:sz w:val="20"/>
                <w:szCs w:val="20"/>
                <w:u w:val="none"/>
              </w:rPr>
            </w:pPr>
          </w:p>
        </w:tc>
        <w:tc>
          <w:tcPr>
            <w:tcW w:w="510" w:type="dxa"/>
            <w:gridSpan w:val="2"/>
            <w:tcBorders>
              <w:top w:val="nil"/>
              <w:left w:val="nil"/>
              <w:bottom w:val="nil"/>
              <w:right w:val="nil"/>
            </w:tcBorders>
            <w:shd w:val="clear" w:color="auto" w:fill="auto"/>
            <w:noWrap/>
            <w:vAlign w:val="center"/>
          </w:tcPr>
          <w:p w14:paraId="5E694746">
            <w:pPr>
              <w:rPr>
                <w:rFonts w:hint="eastAsia" w:ascii="宋体" w:eastAsia="宋体" w:cs="宋体"/>
                <w:i w:val="0"/>
                <w:iCs w:val="0"/>
                <w:color w:val="000000"/>
                <w:sz w:val="20"/>
                <w:szCs w:val="20"/>
                <w:u w:val="none"/>
              </w:rPr>
            </w:pPr>
          </w:p>
        </w:tc>
        <w:tc>
          <w:tcPr>
            <w:tcW w:w="450" w:type="dxa"/>
            <w:tcBorders>
              <w:top w:val="nil"/>
              <w:left w:val="nil"/>
              <w:bottom w:val="nil"/>
              <w:right w:val="nil"/>
            </w:tcBorders>
            <w:shd w:val="clear" w:color="auto" w:fill="auto"/>
            <w:noWrap/>
            <w:vAlign w:val="center"/>
          </w:tcPr>
          <w:p w14:paraId="2D732EC9">
            <w:pPr>
              <w:rPr>
                <w:rFonts w:hint="eastAsia" w:ascii="宋体" w:eastAsia="宋体" w:cs="宋体"/>
                <w:i w:val="0"/>
                <w:iCs w:val="0"/>
                <w:color w:val="000000"/>
                <w:sz w:val="20"/>
                <w:szCs w:val="20"/>
                <w:u w:val="none"/>
              </w:rPr>
            </w:pPr>
          </w:p>
        </w:tc>
        <w:tc>
          <w:tcPr>
            <w:tcW w:w="2145" w:type="dxa"/>
            <w:gridSpan w:val="2"/>
            <w:tcBorders>
              <w:top w:val="nil"/>
              <w:left w:val="nil"/>
              <w:bottom w:val="nil"/>
              <w:right w:val="nil"/>
            </w:tcBorders>
            <w:shd w:val="clear" w:color="auto" w:fill="auto"/>
            <w:noWrap/>
            <w:vAlign w:val="center"/>
          </w:tcPr>
          <w:p w14:paraId="14797965">
            <w:pPr>
              <w:rPr>
                <w:rFonts w:hint="eastAsia" w:ascii="宋体" w:eastAsia="宋体" w:cs="宋体"/>
                <w:i w:val="0"/>
                <w:iCs w:val="0"/>
                <w:color w:val="000000"/>
                <w:sz w:val="20"/>
                <w:szCs w:val="20"/>
                <w:u w:val="none"/>
              </w:rPr>
            </w:pPr>
          </w:p>
        </w:tc>
      </w:tr>
      <w:tr w14:paraId="310B5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99AFF">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6848F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92AA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FAF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51190025T000013196469-2025年年初部门预算特定目标类项目203004市作协重点作家扶持经费</w:t>
            </w:r>
          </w:p>
        </w:tc>
      </w:tr>
      <w:tr w14:paraId="2F90F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C05D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4340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05E8489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1A3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巴中市作家协会</w:t>
            </w:r>
          </w:p>
        </w:tc>
      </w:tr>
      <w:tr w14:paraId="47FAE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FD48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4054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1BA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CBF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49E5D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ECE72"/>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E28AE"/>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CA07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目标1：　坚持以习近平新时代中国特色社会主义思想为指导，坚持以人民为中心的创作导向，大力弘扬和践行社会主义核心价值观，深入生活、扎根人民，以文学方式全方位、多角度、深层次反映巴中经济社会发展的伟大实践，用文学的力量助推乡村振兴，推动社会主义现代化巴中建设</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AA4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推动巴中文学事业的繁荣发展，促进多出精品、多出人才，开展重点作品扶持工作</w:t>
            </w:r>
          </w:p>
        </w:tc>
      </w:tr>
      <w:tr w14:paraId="50C56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5ACF2"/>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E5B2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7124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以扶持巴中文学事业为指导，全面贯彻习近平文化思想和习近平总书记关于文艺工作的重要论述，坚持以人民为中心的创作导向，坚持“二为”方向和“双百”方针，坚持创造性转化和创新性发展，以社会主义核心价值观为引领，满足人民文化需求，增强人民精神力量。鼓励深入生活、扎根人民,倡导新时代现实题材创作和重大革命历史题材创作，尊重文学创作规律和作家艺术个性，推出具有巴中特色、巴中风格、巴中气派的优秀作品，讲好巴中故事、传播好巴中声音，推动新时代巴中文学向高峰迈进。</w:t>
            </w:r>
          </w:p>
        </w:tc>
      </w:tr>
      <w:tr w14:paraId="47FA0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10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1A4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6B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D5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00E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65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55D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30B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488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37B84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B373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BC6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DD5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A6E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8BB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317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9B8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F3F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E1E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预算执行率100%。</w:t>
            </w:r>
          </w:p>
        </w:tc>
      </w:tr>
      <w:tr w14:paraId="74B01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0E5E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C54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046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053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917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92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1E1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F37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6FCC8"/>
        </w:tc>
      </w:tr>
      <w:tr w14:paraId="26B0F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84ECB"/>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B90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8C0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9F4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4A0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AB0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6E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DBB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665B"/>
        </w:tc>
      </w:tr>
      <w:tr w14:paraId="75B10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93410"/>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69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74F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4D7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26B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930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55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FC0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4FDA"/>
        </w:tc>
      </w:tr>
      <w:tr w14:paraId="05506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8B55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E46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03F48">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1ABAE">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646A2">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53765">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619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CE7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DFE82"/>
        </w:tc>
      </w:tr>
      <w:tr w14:paraId="7592B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A0F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9AF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CA1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489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50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CF5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5A0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F3E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7F0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FCD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F8E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33534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04FD5"/>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216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78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E48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扶持巴中本土作家出作</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725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EEE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647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5B5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A51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0A3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93665">
            <w:pPr>
              <w:jc w:val="center"/>
              <w:rPr>
                <w:rFonts w:hint="eastAsia" w:ascii="宋体" w:eastAsia="宋体" w:cs="宋体"/>
                <w:i w:val="0"/>
                <w:iCs w:val="0"/>
                <w:color w:val="000000"/>
                <w:sz w:val="20"/>
                <w:szCs w:val="20"/>
                <w:u w:val="none"/>
              </w:rPr>
            </w:pPr>
          </w:p>
        </w:tc>
      </w:tr>
      <w:tr w14:paraId="508C6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F8DDF"/>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32E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B9F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329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以文学方式全方位、多角度、深层次反映巴中经济社会发展的伟大实践，用文学的力量助推乡村振兴，推动中国式现代化巴中建设</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596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354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F43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篇</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76B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F8E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90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B62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63F00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E6565"/>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BEE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A0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A89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广大文学创作者、文学爱好者</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630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FB4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1E2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3A4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8C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273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C0A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485F6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32DA2"/>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C2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38D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E47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作者作品补贴，办公经费、改稿、评审、差旅、推介等费用</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119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C81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FBD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A9C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5F8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505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B0C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2467F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533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ABC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146BF">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7DC53">
            <w:pPr>
              <w:rPr>
                <w:rFonts w:hint="eastAsia" w:ascii="宋体" w:eastAsia="宋体" w:cs="宋体"/>
                <w:i w:val="0"/>
                <w:iCs w:val="0"/>
                <w:color w:val="000000"/>
                <w:sz w:val="20"/>
                <w:szCs w:val="20"/>
                <w:u w:val="none"/>
              </w:rPr>
            </w:pPr>
          </w:p>
        </w:tc>
      </w:tr>
      <w:tr w14:paraId="4E12C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693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DF9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以扶持巴中文学事业为指导，全面贯彻习近平文化思想和习近平总书记关于文艺工作的重要论述，坚持以人民为中心的创作导向，坚持“二为”方向和“双百”方针，坚持创造性转化和创新性发展，以社会主义核心价值观为引领，满足人民文化需求，增强人民精神力量。鼓励深入生活、扎根人民,倡导新时代现实题材创作和重大革命历史题材创作，尊重文学创作规律和作家艺术个性，推出具有巴中特色、巴中风格、巴中气派的优秀作品，讲好巴中故事、传播好巴中声音，推动新时代巴中文学向高峰迈进。</w:t>
            </w:r>
          </w:p>
        </w:tc>
      </w:tr>
      <w:tr w14:paraId="4B76E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B5F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C501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文学作品与地方文化、文旅融合的深度有待拓展</w:t>
            </w:r>
          </w:p>
        </w:tc>
      </w:tr>
      <w:tr w14:paraId="45E60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E6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45C3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推动文学成果与地方发展深度融合，鼓励创作更多反映巴中特色、助力文旅发展的作品。</w:t>
            </w:r>
          </w:p>
        </w:tc>
      </w:tr>
      <w:tr w14:paraId="155E4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nil"/>
              <w:left w:val="nil"/>
              <w:bottom w:val="nil"/>
              <w:right w:val="nil"/>
            </w:tcBorders>
            <w:shd w:val="clear" w:color="auto" w:fill="auto"/>
            <w:noWrap/>
            <w:vAlign w:val="center"/>
          </w:tcPr>
          <w:p w14:paraId="3082904E">
            <w:pPr>
              <w:rPr>
                <w:rFonts w:hint="eastAsia" w:ascii="宋体" w:eastAsia="宋体" w:cs="宋体"/>
                <w:i w:val="0"/>
                <w:iCs w:val="0"/>
                <w:color w:val="000000"/>
                <w:sz w:val="20"/>
                <w:szCs w:val="20"/>
                <w:u w:val="none"/>
              </w:rPr>
            </w:pPr>
          </w:p>
        </w:tc>
        <w:tc>
          <w:tcPr>
            <w:tcW w:w="1590" w:type="dxa"/>
            <w:gridSpan w:val="2"/>
            <w:tcBorders>
              <w:top w:val="nil"/>
              <w:left w:val="nil"/>
              <w:bottom w:val="nil"/>
              <w:right w:val="nil"/>
            </w:tcBorders>
            <w:shd w:val="clear" w:color="auto" w:fill="auto"/>
            <w:noWrap/>
            <w:vAlign w:val="center"/>
          </w:tcPr>
          <w:p w14:paraId="6D69FC66">
            <w:pPr>
              <w:rPr>
                <w:rFonts w:hint="eastAsia" w:ascii="宋体" w:eastAsia="宋体" w:cs="宋体"/>
                <w:i w:val="0"/>
                <w:iCs w:val="0"/>
                <w:color w:val="000000"/>
                <w:sz w:val="20"/>
                <w:szCs w:val="20"/>
                <w:u w:val="none"/>
              </w:rPr>
            </w:pPr>
          </w:p>
        </w:tc>
        <w:tc>
          <w:tcPr>
            <w:tcW w:w="1770" w:type="dxa"/>
            <w:gridSpan w:val="2"/>
            <w:tcBorders>
              <w:top w:val="nil"/>
              <w:left w:val="nil"/>
              <w:bottom w:val="nil"/>
              <w:right w:val="nil"/>
            </w:tcBorders>
            <w:shd w:val="clear" w:color="auto" w:fill="auto"/>
            <w:noWrap/>
            <w:vAlign w:val="center"/>
          </w:tcPr>
          <w:p w14:paraId="14DD7DC5">
            <w:pPr>
              <w:rPr>
                <w:rFonts w:hint="eastAsia" w:ascii="宋体" w:eastAsia="宋体" w:cs="宋体"/>
                <w:i w:val="0"/>
                <w:iCs w:val="0"/>
                <w:color w:val="000000"/>
                <w:sz w:val="20"/>
                <w:szCs w:val="20"/>
                <w:u w:val="none"/>
              </w:rPr>
            </w:pPr>
          </w:p>
        </w:tc>
        <w:tc>
          <w:tcPr>
            <w:tcW w:w="2265" w:type="dxa"/>
            <w:gridSpan w:val="2"/>
            <w:tcBorders>
              <w:top w:val="nil"/>
              <w:left w:val="nil"/>
              <w:bottom w:val="nil"/>
              <w:right w:val="nil"/>
            </w:tcBorders>
            <w:shd w:val="clear" w:color="auto" w:fill="auto"/>
            <w:noWrap/>
            <w:vAlign w:val="center"/>
          </w:tcPr>
          <w:p w14:paraId="5A8F6DD7">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3339C431">
            <w:pPr>
              <w:rPr>
                <w:rFonts w:hint="eastAsia" w:ascii="宋体" w:eastAsia="宋体" w:cs="宋体"/>
                <w:i w:val="0"/>
                <w:iCs w:val="0"/>
                <w:color w:val="000000"/>
                <w:sz w:val="20"/>
                <w:szCs w:val="20"/>
                <w:u w:val="none"/>
              </w:rPr>
            </w:pPr>
          </w:p>
        </w:tc>
        <w:tc>
          <w:tcPr>
            <w:tcW w:w="1200" w:type="dxa"/>
            <w:gridSpan w:val="2"/>
            <w:tcBorders>
              <w:top w:val="nil"/>
              <w:left w:val="nil"/>
              <w:bottom w:val="nil"/>
              <w:right w:val="nil"/>
            </w:tcBorders>
            <w:shd w:val="clear" w:color="auto" w:fill="auto"/>
            <w:noWrap/>
            <w:vAlign w:val="center"/>
          </w:tcPr>
          <w:p w14:paraId="4F87889F">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0189D32A">
            <w:pPr>
              <w:rPr>
                <w:rFonts w:hint="eastAsia" w:ascii="宋体" w:eastAsia="宋体" w:cs="宋体"/>
                <w:i w:val="0"/>
                <w:iCs w:val="0"/>
                <w:color w:val="000000"/>
                <w:sz w:val="20"/>
                <w:szCs w:val="20"/>
                <w:u w:val="none"/>
              </w:rPr>
            </w:pPr>
          </w:p>
        </w:tc>
        <w:tc>
          <w:tcPr>
            <w:tcW w:w="1095" w:type="dxa"/>
            <w:gridSpan w:val="2"/>
            <w:tcBorders>
              <w:top w:val="nil"/>
              <w:left w:val="nil"/>
              <w:bottom w:val="nil"/>
              <w:right w:val="nil"/>
            </w:tcBorders>
            <w:shd w:val="clear" w:color="auto" w:fill="auto"/>
            <w:noWrap/>
            <w:vAlign w:val="center"/>
          </w:tcPr>
          <w:p w14:paraId="1EFB3D1B">
            <w:pPr>
              <w:rPr>
                <w:rFonts w:hint="eastAsia" w:ascii="宋体" w:eastAsia="宋体" w:cs="宋体"/>
                <w:i w:val="0"/>
                <w:iCs w:val="0"/>
                <w:color w:val="000000"/>
                <w:sz w:val="20"/>
                <w:szCs w:val="20"/>
                <w:u w:val="none"/>
              </w:rPr>
            </w:pPr>
          </w:p>
        </w:tc>
        <w:tc>
          <w:tcPr>
            <w:tcW w:w="510" w:type="dxa"/>
            <w:gridSpan w:val="2"/>
            <w:tcBorders>
              <w:top w:val="nil"/>
              <w:left w:val="nil"/>
              <w:bottom w:val="nil"/>
              <w:right w:val="nil"/>
            </w:tcBorders>
            <w:shd w:val="clear" w:color="auto" w:fill="auto"/>
            <w:noWrap/>
            <w:vAlign w:val="center"/>
          </w:tcPr>
          <w:p w14:paraId="50302DCB">
            <w:pPr>
              <w:rPr>
                <w:rFonts w:hint="eastAsia" w:ascii="宋体" w:eastAsia="宋体" w:cs="宋体"/>
                <w:i w:val="0"/>
                <w:iCs w:val="0"/>
                <w:color w:val="000000"/>
                <w:sz w:val="20"/>
                <w:szCs w:val="20"/>
                <w:u w:val="none"/>
              </w:rPr>
            </w:pPr>
          </w:p>
        </w:tc>
        <w:tc>
          <w:tcPr>
            <w:tcW w:w="450" w:type="dxa"/>
            <w:tcBorders>
              <w:top w:val="nil"/>
              <w:left w:val="nil"/>
              <w:bottom w:val="nil"/>
              <w:right w:val="nil"/>
            </w:tcBorders>
            <w:shd w:val="clear" w:color="auto" w:fill="auto"/>
            <w:noWrap/>
            <w:vAlign w:val="center"/>
          </w:tcPr>
          <w:p w14:paraId="7C94BA98">
            <w:pPr>
              <w:rPr>
                <w:rFonts w:hint="eastAsia" w:ascii="宋体" w:eastAsia="宋体" w:cs="宋体"/>
                <w:i w:val="0"/>
                <w:iCs w:val="0"/>
                <w:color w:val="000000"/>
                <w:sz w:val="20"/>
                <w:szCs w:val="20"/>
                <w:u w:val="none"/>
              </w:rPr>
            </w:pPr>
          </w:p>
        </w:tc>
        <w:tc>
          <w:tcPr>
            <w:tcW w:w="2145" w:type="dxa"/>
            <w:gridSpan w:val="2"/>
            <w:tcBorders>
              <w:top w:val="nil"/>
              <w:left w:val="nil"/>
              <w:bottom w:val="nil"/>
              <w:right w:val="nil"/>
            </w:tcBorders>
            <w:shd w:val="clear" w:color="auto" w:fill="auto"/>
            <w:noWrap/>
            <w:vAlign w:val="center"/>
          </w:tcPr>
          <w:p w14:paraId="185F62F6">
            <w:pPr>
              <w:rPr>
                <w:rFonts w:hint="eastAsia" w:ascii="宋体" w:eastAsia="宋体" w:cs="宋体"/>
                <w:i w:val="0"/>
                <w:iCs w:val="0"/>
                <w:color w:val="000000"/>
                <w:sz w:val="20"/>
                <w:szCs w:val="20"/>
                <w:u w:val="none"/>
              </w:rPr>
            </w:pPr>
          </w:p>
        </w:tc>
      </w:tr>
      <w:tr w14:paraId="6936B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8D7F2">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489CC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E20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DFC3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51190025T000013196507-2025年年初部门预算特定目标类项目203004市作协名家工作室</w:t>
            </w:r>
          </w:p>
        </w:tc>
      </w:tr>
      <w:tr w14:paraId="322B9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A948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F6D6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247B8FB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940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巴中市作家协会</w:t>
            </w:r>
          </w:p>
        </w:tc>
      </w:tr>
      <w:tr w14:paraId="1CD15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993C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CE18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5AB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8A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55617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61C30"/>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AC008"/>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4E9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目标1：培养一批带不走的文学人才，为文学事业发展奠定坚实的人才基础</w:t>
            </w:r>
            <w:r>
              <w:rPr>
                <w:rFonts w:hint="eastAsia" w:ascii="宋体" w:eastAsia="宋体" w:cs="宋体"/>
                <w:i w:val="0"/>
                <w:iCs w:val="0"/>
                <w:color w:val="000000"/>
                <w:kern w:val="0"/>
                <w:sz w:val="20"/>
                <w:szCs w:val="20"/>
                <w:u w:val="none"/>
                <w:lang w:val="en-US" w:eastAsia="zh-CN"/>
              </w:rPr>
              <w:br w:type="textWrapping"/>
            </w:r>
            <w:r>
              <w:rPr>
                <w:rFonts w:hint="eastAsia" w:ascii="宋体" w:eastAsia="宋体" w:cs="宋体"/>
                <w:i w:val="0"/>
                <w:iCs w:val="0"/>
                <w:color w:val="000000"/>
                <w:kern w:val="0"/>
                <w:sz w:val="20"/>
                <w:szCs w:val="20"/>
                <w:u w:val="none"/>
                <w:lang w:val="en-US" w:eastAsia="zh-CN"/>
              </w:rPr>
              <w:t>目标2：创作生产思想精深、艺术精湛、制作精良的优秀文艺作品</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65E3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以工作室年度创作作品为主，结合课题讲座、开展各类主题创作采风活动、课题研究、完成了年初设定的创作任务和作品刊发、获奖等。</w:t>
            </w:r>
          </w:p>
        </w:tc>
      </w:tr>
      <w:tr w14:paraId="12A98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056C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CEB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7B3C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以工作室年度创作作品为主，结合课题讲座、开展各类主题创作采风活动、课题研究、完成了年初设定的创作任务和作品刊发、获奖等。</w:t>
            </w:r>
          </w:p>
        </w:tc>
      </w:tr>
      <w:tr w14:paraId="22133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90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DF1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120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A0D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151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07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AB4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78A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477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28AEE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8F73"/>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C7F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920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25.00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12A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19.63</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D61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19.63</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391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FAA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C5E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7AF9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资金全部用于文学工作室创作、课题讲座、采风活动等项目相关支出，资金使用合规。</w:t>
            </w:r>
          </w:p>
        </w:tc>
      </w:tr>
      <w:tr w14:paraId="13339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97978"/>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3A8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843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25.00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C40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19.63</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675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19.63</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486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998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2CA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7BF38"/>
        </w:tc>
      </w:tr>
      <w:tr w14:paraId="15C42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34A7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70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91D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48C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69F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C0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B3C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91E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9DB8D"/>
        </w:tc>
      </w:tr>
      <w:tr w14:paraId="03A95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D61DC"/>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AD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8B6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92E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61B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A71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36D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E34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21732"/>
        </w:tc>
      </w:tr>
      <w:tr w14:paraId="29545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843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F28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F76B8">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0AFC8">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87A70">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F6895">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8C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74C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C161E"/>
        </w:tc>
      </w:tr>
      <w:tr w14:paraId="07364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E3D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1FD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1DD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2F8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A0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51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9E3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8C5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A1E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B96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29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1566D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114F4"/>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D9A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F5A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BFA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以工作室年度创作作品为主，结合课题讲座、创作采风开展情况、课题研究结题情况、完成交办任务情况和作品刊发、获奖等情况</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EF0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203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38</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4FB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篇（部）</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AC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38</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EA1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69F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14B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2E057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A8F0B"/>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533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82C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414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培养一批带不走的文学人才，为文艺事业发展奠定坚实的人才基础，创作生产思想精深、艺术精湛、制作精良的优秀文学作品</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176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436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22</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8F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A6E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22</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0E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A90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AB9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32DCE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F9086"/>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5CF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A94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EA8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广大文学创作者、文学爱好者</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844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99A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EB4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261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4F4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11F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C4B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715A2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D6980"/>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D42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87E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A37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日常办公经费，采风创作经费，作品研讨，成果推介</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A1A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050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25</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839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3C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90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E48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FD5F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083A6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E8D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6DC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42FA5">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83725">
            <w:pPr>
              <w:rPr>
                <w:rFonts w:hint="eastAsia" w:ascii="宋体" w:eastAsia="宋体" w:cs="宋体"/>
                <w:i w:val="0"/>
                <w:iCs w:val="0"/>
                <w:color w:val="000000"/>
                <w:sz w:val="20"/>
                <w:szCs w:val="20"/>
                <w:u w:val="none"/>
              </w:rPr>
            </w:pPr>
          </w:p>
        </w:tc>
      </w:tr>
      <w:tr w14:paraId="3D8F5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002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CABB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充分发挥文学名家的示范、引领和带动作用，加大本土文学人才培养和文学精品创作生产力度；构建培养人才梯队，组织文艺精品创作；培养一批带不走的文学人才，为文艺事业发展奠定坚实的人才基础，创作生产思想精深、艺术精湛、制作精良的优秀文学作品。</w:t>
            </w:r>
          </w:p>
        </w:tc>
      </w:tr>
      <w:tr w14:paraId="34C65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597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18F7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部分创作成果的转化与推广力度不足，优秀作品的传播范围有待扩大。</w:t>
            </w:r>
          </w:p>
        </w:tc>
      </w:tr>
      <w:tr w14:paraId="445C1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EC4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F3EE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建立优秀作品推广机制，联动文学平台开展作品宣传推介，扩大本土文学影响力。</w:t>
            </w:r>
          </w:p>
        </w:tc>
      </w:tr>
      <w:tr w14:paraId="4BBF0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tcBorders>
              <w:top w:val="nil"/>
              <w:left w:val="nil"/>
              <w:bottom w:val="nil"/>
              <w:right w:val="nil"/>
            </w:tcBorders>
            <w:shd w:val="clear" w:color="auto" w:fill="auto"/>
            <w:noWrap/>
            <w:vAlign w:val="center"/>
          </w:tcPr>
          <w:p w14:paraId="7E6B9B32">
            <w:pPr>
              <w:rPr>
                <w:rFonts w:hint="eastAsia" w:ascii="宋体" w:eastAsia="宋体" w:cs="宋体"/>
                <w:i w:val="0"/>
                <w:iCs w:val="0"/>
                <w:color w:val="000000"/>
                <w:sz w:val="20"/>
                <w:szCs w:val="20"/>
                <w:u w:val="none"/>
              </w:rPr>
            </w:pPr>
          </w:p>
        </w:tc>
        <w:tc>
          <w:tcPr>
            <w:tcW w:w="1590" w:type="dxa"/>
            <w:gridSpan w:val="2"/>
            <w:tcBorders>
              <w:top w:val="nil"/>
              <w:left w:val="nil"/>
              <w:bottom w:val="nil"/>
              <w:right w:val="nil"/>
            </w:tcBorders>
            <w:shd w:val="clear" w:color="auto" w:fill="auto"/>
            <w:noWrap/>
            <w:vAlign w:val="center"/>
          </w:tcPr>
          <w:p w14:paraId="619D5B05">
            <w:pPr>
              <w:rPr>
                <w:rFonts w:hint="eastAsia" w:ascii="宋体" w:eastAsia="宋体" w:cs="宋体"/>
                <w:i w:val="0"/>
                <w:iCs w:val="0"/>
                <w:color w:val="000000"/>
                <w:sz w:val="20"/>
                <w:szCs w:val="20"/>
                <w:u w:val="none"/>
              </w:rPr>
            </w:pPr>
          </w:p>
        </w:tc>
        <w:tc>
          <w:tcPr>
            <w:tcW w:w="1770" w:type="dxa"/>
            <w:gridSpan w:val="2"/>
            <w:tcBorders>
              <w:top w:val="nil"/>
              <w:left w:val="nil"/>
              <w:bottom w:val="nil"/>
              <w:right w:val="nil"/>
            </w:tcBorders>
            <w:shd w:val="clear" w:color="auto" w:fill="auto"/>
            <w:noWrap/>
            <w:vAlign w:val="center"/>
          </w:tcPr>
          <w:p w14:paraId="43097052">
            <w:pPr>
              <w:rPr>
                <w:rFonts w:hint="eastAsia" w:ascii="宋体" w:eastAsia="宋体" w:cs="宋体"/>
                <w:i w:val="0"/>
                <w:iCs w:val="0"/>
                <w:color w:val="000000"/>
                <w:sz w:val="20"/>
                <w:szCs w:val="20"/>
                <w:u w:val="none"/>
              </w:rPr>
            </w:pPr>
          </w:p>
        </w:tc>
        <w:tc>
          <w:tcPr>
            <w:tcW w:w="2265" w:type="dxa"/>
            <w:gridSpan w:val="2"/>
            <w:tcBorders>
              <w:top w:val="nil"/>
              <w:left w:val="nil"/>
              <w:bottom w:val="nil"/>
              <w:right w:val="nil"/>
            </w:tcBorders>
            <w:shd w:val="clear" w:color="auto" w:fill="auto"/>
            <w:noWrap/>
            <w:vAlign w:val="center"/>
          </w:tcPr>
          <w:p w14:paraId="03755208">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6CC22EC4">
            <w:pPr>
              <w:rPr>
                <w:rFonts w:hint="eastAsia" w:ascii="宋体" w:eastAsia="宋体" w:cs="宋体"/>
                <w:i w:val="0"/>
                <w:iCs w:val="0"/>
                <w:color w:val="000000"/>
                <w:sz w:val="20"/>
                <w:szCs w:val="20"/>
                <w:u w:val="none"/>
              </w:rPr>
            </w:pPr>
          </w:p>
        </w:tc>
        <w:tc>
          <w:tcPr>
            <w:tcW w:w="1200" w:type="dxa"/>
            <w:gridSpan w:val="2"/>
            <w:tcBorders>
              <w:top w:val="nil"/>
              <w:left w:val="nil"/>
              <w:bottom w:val="nil"/>
              <w:right w:val="nil"/>
            </w:tcBorders>
            <w:shd w:val="clear" w:color="auto" w:fill="auto"/>
            <w:noWrap/>
            <w:vAlign w:val="center"/>
          </w:tcPr>
          <w:p w14:paraId="55276E3C">
            <w:pPr>
              <w:rPr>
                <w:rFonts w:hint="eastAsia" w:ascii="宋体" w:eastAsia="宋体" w:cs="宋体"/>
                <w:i w:val="0"/>
                <w:iCs w:val="0"/>
                <w:color w:val="000000"/>
                <w:sz w:val="20"/>
                <w:szCs w:val="20"/>
                <w:u w:val="none"/>
              </w:rPr>
            </w:pPr>
          </w:p>
        </w:tc>
        <w:tc>
          <w:tcPr>
            <w:tcW w:w="525" w:type="dxa"/>
            <w:gridSpan w:val="2"/>
            <w:tcBorders>
              <w:top w:val="nil"/>
              <w:left w:val="nil"/>
              <w:bottom w:val="nil"/>
              <w:right w:val="nil"/>
            </w:tcBorders>
            <w:shd w:val="clear" w:color="auto" w:fill="auto"/>
            <w:noWrap/>
            <w:vAlign w:val="center"/>
          </w:tcPr>
          <w:p w14:paraId="214A6F3B">
            <w:pPr>
              <w:rPr>
                <w:rFonts w:hint="eastAsia" w:ascii="宋体" w:eastAsia="宋体" w:cs="宋体"/>
                <w:i w:val="0"/>
                <w:iCs w:val="0"/>
                <w:color w:val="000000"/>
                <w:sz w:val="20"/>
                <w:szCs w:val="20"/>
                <w:u w:val="none"/>
              </w:rPr>
            </w:pPr>
          </w:p>
        </w:tc>
        <w:tc>
          <w:tcPr>
            <w:tcW w:w="1095" w:type="dxa"/>
            <w:gridSpan w:val="2"/>
            <w:tcBorders>
              <w:top w:val="nil"/>
              <w:left w:val="nil"/>
              <w:bottom w:val="nil"/>
              <w:right w:val="nil"/>
            </w:tcBorders>
            <w:shd w:val="clear" w:color="auto" w:fill="auto"/>
            <w:noWrap/>
            <w:vAlign w:val="center"/>
          </w:tcPr>
          <w:p w14:paraId="234739DD">
            <w:pPr>
              <w:rPr>
                <w:rFonts w:hint="eastAsia" w:ascii="宋体" w:eastAsia="宋体" w:cs="宋体"/>
                <w:i w:val="0"/>
                <w:iCs w:val="0"/>
                <w:color w:val="000000"/>
                <w:sz w:val="20"/>
                <w:szCs w:val="20"/>
                <w:u w:val="none"/>
              </w:rPr>
            </w:pPr>
          </w:p>
        </w:tc>
        <w:tc>
          <w:tcPr>
            <w:tcW w:w="510" w:type="dxa"/>
            <w:gridSpan w:val="2"/>
            <w:tcBorders>
              <w:top w:val="nil"/>
              <w:left w:val="nil"/>
              <w:bottom w:val="nil"/>
              <w:right w:val="nil"/>
            </w:tcBorders>
            <w:shd w:val="clear" w:color="auto" w:fill="auto"/>
            <w:noWrap/>
            <w:vAlign w:val="center"/>
          </w:tcPr>
          <w:p w14:paraId="082A85B6">
            <w:pPr>
              <w:rPr>
                <w:rFonts w:hint="eastAsia" w:ascii="宋体" w:eastAsia="宋体" w:cs="宋体"/>
                <w:i w:val="0"/>
                <w:iCs w:val="0"/>
                <w:color w:val="000000"/>
                <w:sz w:val="20"/>
                <w:szCs w:val="20"/>
                <w:u w:val="none"/>
              </w:rPr>
            </w:pPr>
          </w:p>
        </w:tc>
        <w:tc>
          <w:tcPr>
            <w:tcW w:w="450" w:type="dxa"/>
            <w:tcBorders>
              <w:top w:val="nil"/>
              <w:left w:val="nil"/>
              <w:bottom w:val="nil"/>
              <w:right w:val="nil"/>
            </w:tcBorders>
            <w:shd w:val="clear" w:color="auto" w:fill="auto"/>
            <w:noWrap/>
            <w:vAlign w:val="center"/>
          </w:tcPr>
          <w:p w14:paraId="3A58709A">
            <w:pPr>
              <w:rPr>
                <w:rFonts w:hint="eastAsia" w:ascii="宋体" w:eastAsia="宋体" w:cs="宋体"/>
                <w:i w:val="0"/>
                <w:iCs w:val="0"/>
                <w:color w:val="000000"/>
                <w:sz w:val="20"/>
                <w:szCs w:val="20"/>
                <w:u w:val="none"/>
              </w:rPr>
            </w:pPr>
          </w:p>
        </w:tc>
        <w:tc>
          <w:tcPr>
            <w:tcW w:w="2145" w:type="dxa"/>
            <w:gridSpan w:val="2"/>
            <w:tcBorders>
              <w:top w:val="nil"/>
              <w:left w:val="nil"/>
              <w:bottom w:val="nil"/>
              <w:right w:val="nil"/>
            </w:tcBorders>
            <w:shd w:val="clear" w:color="auto" w:fill="auto"/>
            <w:noWrap/>
            <w:vAlign w:val="center"/>
          </w:tcPr>
          <w:p w14:paraId="541534BC">
            <w:pPr>
              <w:rPr>
                <w:rFonts w:hint="eastAsia" w:ascii="宋体" w:eastAsia="宋体" w:cs="宋体"/>
                <w:i w:val="0"/>
                <w:iCs w:val="0"/>
                <w:color w:val="000000"/>
                <w:sz w:val="20"/>
                <w:szCs w:val="20"/>
                <w:u w:val="none"/>
              </w:rPr>
            </w:pPr>
          </w:p>
        </w:tc>
      </w:tr>
      <w:tr w14:paraId="23DB2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276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BA3E">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28BD3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E799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108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残疾助困专项补助</w:t>
            </w:r>
          </w:p>
        </w:tc>
      </w:tr>
      <w:tr w14:paraId="1058D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4E3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826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gridSpan w:val="2"/>
            <w:tcBorders>
              <w:top w:val="nil"/>
              <w:left w:val="nil"/>
              <w:bottom w:val="nil"/>
              <w:right w:val="nil"/>
            </w:tcBorders>
            <w:shd w:val="clear" w:color="auto" w:fill="auto"/>
            <w:noWrap/>
            <w:vAlign w:val="center"/>
          </w:tcPr>
          <w:p w14:paraId="65C7768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9B2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巴中市作家协会</w:t>
            </w:r>
          </w:p>
        </w:tc>
      </w:tr>
      <w:tr w14:paraId="67B1F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28D1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AE4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95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18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7C8B8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A88E8"/>
        </w:tc>
        <w:tc>
          <w:tcPr>
            <w:tcW w:w="15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5A511"/>
        </w:tc>
        <w:tc>
          <w:tcPr>
            <w:tcW w:w="628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AE7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依法保障残疾人各项权益</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093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本项目2025年度已100%完成“依法保障残疾人各项权益”的年度目标，预算执行率100%，补助资金足额及时发放到位。</w:t>
            </w:r>
          </w:p>
        </w:tc>
      </w:tr>
      <w:tr w14:paraId="07D73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A9E12"/>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CE45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5A33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严格按照预算管理及参加人补助政策要求实施，足额拨付资金，专款专用及时发放。</w:t>
            </w:r>
          </w:p>
        </w:tc>
      </w:tr>
      <w:tr w14:paraId="56E60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BA3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E15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060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28E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3C9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5F2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8DF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B4F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B4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152B0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EE0E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06E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401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155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1.13</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025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1.13</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57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D0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0EE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662F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项目按调整后足额执行，资金全部用于残疾助困专项补助发放，资金使用合规、拨付及时，完全符合项目年度计划安排。</w:t>
            </w:r>
          </w:p>
        </w:tc>
      </w:tr>
      <w:tr w14:paraId="72569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FAAFE"/>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E4F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CBD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59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1.13</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C2E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1.13</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9B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C6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5F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00E7A"/>
        </w:tc>
      </w:tr>
      <w:tr w14:paraId="679C6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C008A"/>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2F0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7C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EB9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E80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C7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B7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C11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950F7"/>
        </w:tc>
      </w:tr>
      <w:tr w14:paraId="5BD75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7099D"/>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5B4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B0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FD3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3A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077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BA0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A0E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2BDC"/>
        </w:tc>
      </w:tr>
      <w:tr w14:paraId="312B1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E4694"/>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14C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06127">
            <w:pPr>
              <w:jc w:val="center"/>
              <w:rPr>
                <w:rFonts w:hint="eastAsia" w:ascii="宋体" w:eastAsia="宋体" w:cs="宋体"/>
                <w:i w:val="0"/>
                <w:iCs w:val="0"/>
                <w:color w:val="000000"/>
                <w:sz w:val="20"/>
                <w:szCs w:val="20"/>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8A9F5">
            <w:pPr>
              <w:jc w:val="center"/>
              <w:rPr>
                <w:rFonts w:hint="eastAsia" w:ascii="宋体" w:eastAsia="宋体" w:cs="宋体"/>
                <w:i w:val="0"/>
                <w:iCs w:val="0"/>
                <w:color w:val="000000"/>
                <w:sz w:val="20"/>
                <w:szCs w:val="20"/>
                <w:u w:val="none"/>
              </w:rPr>
            </w:pPr>
          </w:p>
        </w:tc>
        <w:tc>
          <w:tcPr>
            <w:tcW w:w="22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AB05A">
            <w:pPr>
              <w:jc w:val="center"/>
              <w:rPr>
                <w:rFonts w:hint="eastAsia" w:ascii="宋体" w:eastAsia="宋体" w:cs="宋体"/>
                <w:i w:val="0"/>
                <w:iCs w:val="0"/>
                <w:color w:val="000000"/>
                <w:sz w:val="20"/>
                <w:szCs w:val="20"/>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4FC39">
            <w:pPr>
              <w:jc w:val="center"/>
              <w:rPr>
                <w:rFonts w:hint="eastAsia" w:ascii="宋体" w:eastAsia="宋体" w:cs="宋体"/>
                <w:i w:val="0"/>
                <w:iCs w:val="0"/>
                <w:color w:val="000000"/>
                <w:sz w:val="20"/>
                <w:szCs w:val="20"/>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CB5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F17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F97C3"/>
        </w:tc>
      </w:tr>
      <w:tr w14:paraId="68CAD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BBD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DFB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D4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BD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15A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A7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E3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264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598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06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C6F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1E0FC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F090"/>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353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54C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质量指标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6A9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依法保障残疾人各项权益</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57B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859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655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9C5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71C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632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249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548AF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F9485"/>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5FA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01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084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依法保障残疾人各项权益</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BE1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08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086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7CC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398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58B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E15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0818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4EC32"/>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170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BAA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047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依法保障残疾人各项权益</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FDA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AFC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AC5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E5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1ED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B8F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077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15924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A4D75"/>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C8F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E38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2C3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依法保障残疾人各项权益</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80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D2B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11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3B0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1D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951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BDA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3B568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966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22D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013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CAB7F">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5AEC8">
            <w:pPr>
              <w:rPr>
                <w:rFonts w:hint="eastAsia" w:ascii="宋体" w:eastAsia="宋体" w:cs="宋体"/>
                <w:i w:val="0"/>
                <w:iCs w:val="0"/>
                <w:color w:val="000000"/>
                <w:sz w:val="20"/>
                <w:szCs w:val="20"/>
                <w:u w:val="none"/>
              </w:rPr>
            </w:pPr>
          </w:p>
        </w:tc>
      </w:tr>
      <w:tr w14:paraId="760B8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AAB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D67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本项目2025年度预算执行规范、资金使用合规，所有绩效指标均达到预期目标，产出、效益、满意度及成本控制均符合要求。</w:t>
            </w:r>
          </w:p>
        </w:tc>
      </w:tr>
      <w:tr w14:paraId="6C586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D06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4924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部分政策宣传的针对性不足，服务对象对补助政策的知晓度仍有提升空间。</w:t>
            </w:r>
          </w:p>
        </w:tc>
      </w:tr>
      <w:tr w14:paraId="442EB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31A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0D5C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加强政策宣传的精准性，开展针对性宣讲。</w:t>
            </w:r>
          </w:p>
        </w:tc>
      </w:tr>
      <w:tr w14:paraId="3809D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4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99EF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项目负责人：王伟</w:t>
            </w:r>
          </w:p>
        </w:tc>
        <w:tc>
          <w:tcPr>
            <w:tcW w:w="592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72B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财务负责人：马希荣</w:t>
            </w:r>
          </w:p>
        </w:tc>
      </w:tr>
    </w:tbl>
    <w:p w14:paraId="3357F4FF">
      <w:pPr>
        <w:keepNext w:val="0"/>
        <w:keepLines w:val="0"/>
        <w:pageBreakBefore w:val="0"/>
        <w:widowControl w:val="0"/>
        <w:suppressLineNumbers w:val="0"/>
        <w:kinsoku/>
        <w:wordWrap/>
        <w:overflowPunct/>
        <w:topLinePunct w:val="0"/>
        <w:autoSpaceDE w:val="0"/>
        <w:autoSpaceDN/>
        <w:bidi w:val="0"/>
        <w:spacing w:before="0" w:beforeAutospacing="0" w:after="0" w:afterAutospacing="0" w:line="580" w:lineRule="exact"/>
        <w:ind w:left="0" w:right="0"/>
        <w:jc w:val="both"/>
        <w:sectPr>
          <w:pgSz w:w="16838" w:h="11906" w:orient="landscape"/>
          <w:pgMar w:top="1587" w:right="2098" w:bottom="1474" w:left="1984" w:header="851" w:footer="1417" w:gutter="0"/>
          <w:cols w:space="720" w:num="1"/>
          <w:rtlGutter w:val="1"/>
          <w:docGrid w:type="lines" w:linePitch="440" w:charSpace="0"/>
        </w:sectPr>
      </w:pPr>
    </w:p>
    <w:p w14:paraId="150A0081">
      <w:pPr>
        <w:pStyle w:val="3"/>
        <w:keepNext w:val="0"/>
        <w:keepLines w:val="0"/>
        <w:pageBreakBefore w:val="0"/>
        <w:widowControl w:val="0"/>
        <w:kinsoku/>
        <w:wordWrap/>
        <w:overflowPunct/>
        <w:topLinePunct w:val="0"/>
        <w:autoSpaceDE/>
        <w:autoSpaceDN/>
        <w:bidi w:val="0"/>
        <w:adjustRightInd w:val="0"/>
        <w:snapToGrid w:val="0"/>
        <w:spacing w:before="0" w:after="0" w:line="580" w:lineRule="exact"/>
        <w:jc w:val="center"/>
        <w:textAlignment w:val="auto"/>
        <w:outlineLvl w:val="0"/>
        <w:rPr>
          <w:rFonts w:hint="eastAsia" w:ascii="Times New Roman" w:hAnsi="Times New Roman" w:eastAsia="方正小标宋简体" w:cs="方正小标宋简体"/>
          <w:b w:val="0"/>
          <w:color w:val="auto"/>
          <w:highlight w:val="none"/>
          <w:lang w:val="en-US" w:eastAsia="zh-CN"/>
        </w:rPr>
      </w:pPr>
      <w:r>
        <w:rPr>
          <w:rFonts w:hint="eastAsia" w:ascii="Times New Roman" w:hAnsi="Times New Roman" w:eastAsia="方正小标宋简体" w:cs="方正小标宋简体"/>
          <w:b w:val="0"/>
          <w:color w:val="auto"/>
          <w:highlight w:val="none"/>
          <w:lang w:val="en-US" w:eastAsia="zh-CN"/>
        </w:rPr>
        <w:t>第五部分 附表</w:t>
      </w:r>
    </w:p>
    <w:p w14:paraId="2A83FE06">
      <w:pPr>
        <w:pStyle w:val="3"/>
        <w:keepNext w:val="0"/>
        <w:keepLines w:val="0"/>
        <w:pageBreakBefore w:val="0"/>
        <w:widowControl w:val="0"/>
        <w:kinsoku/>
        <w:wordWrap/>
        <w:overflowPunct/>
        <w:topLinePunct w:val="0"/>
        <w:autoSpaceDE/>
        <w:autoSpaceDN/>
        <w:bidi w:val="0"/>
        <w:adjustRightInd w:val="0"/>
        <w:snapToGrid w:val="0"/>
        <w:spacing w:before="0" w:after="0" w:line="580" w:lineRule="exact"/>
        <w:jc w:val="center"/>
        <w:textAlignment w:val="auto"/>
        <w:outlineLvl w:val="0"/>
        <w:rPr>
          <w:rFonts w:hint="eastAsia" w:ascii="Times New Roman" w:hAnsi="Times New Roman" w:eastAsia="方正小标宋简体" w:cs="方正小标宋简体"/>
          <w:b w:val="0"/>
          <w:color w:val="auto"/>
          <w:highlight w:val="none"/>
          <w:lang w:val="en-US" w:eastAsia="zh-CN"/>
        </w:rPr>
      </w:pPr>
    </w:p>
    <w:p w14:paraId="187B393C">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sz w:val="32"/>
          <w:szCs w:val="32"/>
          <w:highlight w:val="none"/>
          <w:lang w:val="en-US" w:eastAsia="zh-CN"/>
        </w:rPr>
        <w:t>一、收入支出决算总表</w:t>
      </w:r>
    </w:p>
    <w:p w14:paraId="669ADBA9">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sz w:val="32"/>
          <w:szCs w:val="32"/>
          <w:highlight w:val="none"/>
          <w:lang w:val="en-US" w:eastAsia="zh-CN"/>
        </w:rPr>
        <w:t>二、收入决算表</w:t>
      </w:r>
    </w:p>
    <w:p w14:paraId="1E1BFF02">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sz w:val="32"/>
          <w:szCs w:val="32"/>
          <w:highlight w:val="none"/>
          <w:lang w:val="en-US" w:eastAsia="zh-CN"/>
        </w:rPr>
        <w:t>三、支出决算表</w:t>
      </w:r>
    </w:p>
    <w:p w14:paraId="37AB608E">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sz w:val="32"/>
          <w:szCs w:val="32"/>
          <w:highlight w:val="none"/>
          <w:lang w:val="en-US" w:eastAsia="zh-CN"/>
        </w:rPr>
        <w:t>四、财政拨款收入支出决算总表</w:t>
      </w:r>
    </w:p>
    <w:p w14:paraId="722A9893">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五、财政拨款支出决算明细表</w:t>
      </w:r>
    </w:p>
    <w:p w14:paraId="273DC5FF">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六、一般公共预算财政拨款支出决算表</w:t>
      </w:r>
    </w:p>
    <w:p w14:paraId="48E1E576">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七、一般公共预算财政拨款支出决算明细表</w:t>
      </w:r>
    </w:p>
    <w:p w14:paraId="0BA2F7DB">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八、一般公共预算财政拨款基本支出决算表</w:t>
      </w:r>
    </w:p>
    <w:p w14:paraId="4ABF65D4">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九、一般公共预算财政拨款项目支出决算表</w:t>
      </w:r>
    </w:p>
    <w:p w14:paraId="63CEF43B">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十、政府性基金预算财政拨款收入支出决算表</w:t>
      </w:r>
    </w:p>
    <w:p w14:paraId="5DB1709B">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十一、国有资本经营预算</w:t>
      </w:r>
      <w:r>
        <w:rPr>
          <w:rFonts w:hint="eastAsia" w:ascii="Times New Roman" w:hAnsi="Times New Roman" w:eastAsia="方正仿宋_GBK" w:cs="方正仿宋_GBK"/>
          <w:color w:val="auto"/>
          <w:sz w:val="32"/>
          <w:szCs w:val="32"/>
          <w:highlight w:val="none"/>
          <w:lang w:eastAsia="zh-CN"/>
        </w:rPr>
        <w:t>财政拨款收入</w:t>
      </w:r>
      <w:r>
        <w:rPr>
          <w:rFonts w:hint="eastAsia" w:ascii="Times New Roman" w:hAnsi="Times New Roman" w:eastAsia="方正仿宋_GBK" w:cs="方正仿宋_GBK"/>
          <w:color w:val="auto"/>
          <w:sz w:val="32"/>
          <w:szCs w:val="32"/>
          <w:highlight w:val="none"/>
        </w:rPr>
        <w:t>支出决算表</w:t>
      </w:r>
    </w:p>
    <w:p w14:paraId="69EA0B19">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十二、</w:t>
      </w:r>
      <w:r>
        <w:rPr>
          <w:rFonts w:hint="eastAsia" w:ascii="Times New Roman" w:hAnsi="Times New Roman" w:eastAsia="方正仿宋_GBK" w:cs="方正仿宋_GBK"/>
          <w:color w:val="auto"/>
          <w:sz w:val="32"/>
          <w:szCs w:val="32"/>
          <w:highlight w:val="none"/>
          <w:lang w:eastAsia="zh-CN"/>
        </w:rPr>
        <w:t>国有资本经营预算财政拨款支出决算表</w:t>
      </w:r>
    </w:p>
    <w:p w14:paraId="5E7DA2A9">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方正仿宋_GBK" w:cs="方正仿宋_GBK"/>
          <w:color w:val="auto"/>
          <w:sz w:val="32"/>
          <w:szCs w:val="32"/>
          <w:highlight w:val="none"/>
          <w:lang w:eastAsia="zh-CN"/>
        </w:rPr>
      </w:pPr>
      <w:r>
        <w:rPr>
          <w:rFonts w:hint="eastAsia" w:ascii="Times New Roman" w:hAnsi="Times New Roman" w:eastAsia="方正仿宋_GBK" w:cs="方正仿宋_GBK"/>
          <w:color w:val="auto"/>
          <w:sz w:val="32"/>
          <w:szCs w:val="32"/>
          <w:highlight w:val="none"/>
        </w:rPr>
        <w:t>十三、</w:t>
      </w:r>
      <w:r>
        <w:rPr>
          <w:rFonts w:hint="eastAsia" w:ascii="Times New Roman" w:hAnsi="Times New Roman" w:eastAsia="方正仿宋_GBK" w:cs="方正仿宋_GBK"/>
          <w:color w:val="auto"/>
          <w:sz w:val="32"/>
          <w:szCs w:val="32"/>
          <w:highlight w:val="none"/>
          <w:lang w:eastAsia="zh-CN"/>
        </w:rPr>
        <w:t>财政拨款“三公”经费支出决算</w:t>
      </w:r>
      <w:bookmarkEnd w:id="58"/>
    </w:p>
    <w:sectPr>
      <w:pgSz w:w="11906" w:h="16838"/>
      <w:pgMar w:top="2098" w:right="1474" w:bottom="1984" w:left="1587" w:header="851" w:footer="1417" w:gutter="0"/>
      <w:cols w:space="720" w:num="1"/>
      <w:rtlGutter w:val="1"/>
      <w:docGrid w:type="lines" w:linePitch="44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0000000000000000000"/>
    <w:charset w:val="01"/>
    <w:family w:val="auto"/>
    <w:pitch w:val="default"/>
    <w:sig w:usb0="00000000" w:usb1="00000000" w:usb2="00000000" w:usb3="00000000" w:csb0="00000000" w:csb1="00000000"/>
  </w:font>
  <w:font w:name="宋体">
    <w:altName w:val="方正书宋_GBK"/>
    <w:panose1 w:val="00000000000000000000"/>
    <w:charset w:val="01"/>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MS Gothic">
    <w:altName w:val="国标仿宋"/>
    <w:panose1 w:val="00000000000000000000"/>
    <w:charset w:val="00"/>
    <w:family w:val="auto"/>
    <w:pitch w:val="default"/>
    <w:sig w:usb0="00000000" w:usb1="00000000" w:usb2="00000000" w:usb3="00000000" w:csb0="00000000" w:csb1="00000000"/>
  </w:font>
  <w:font w:name="微软雅黑">
    <w:altName w:val="方正黑体_GBK"/>
    <w:panose1 w:val="020B0503020204020204"/>
    <w:charset w:val="00"/>
    <w:family w:val="auto"/>
    <w:pitch w:val="default"/>
    <w:sig w:usb0="00000000" w:usb1="0000000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Lucida Sans">
    <w:altName w:val="国标仿宋"/>
    <w:panose1 w:val="00000000000000000000"/>
    <w:charset w:val="01"/>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思源宋体">
    <w:panose1 w:val="02020400000000000000"/>
    <w:charset w:val="86"/>
    <w:family w:val="auto"/>
    <w:pitch w:val="default"/>
    <w:sig w:usb0="30000083" w:usb1="2BDF3C10" w:usb2="00000016" w:usb3="00000000" w:csb0="602E0107"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6B544">
    <w:pPr>
      <w:pStyle w:val="10"/>
      <w:jc w:val="center"/>
    </w:pPr>
  </w:p>
  <w:p w14:paraId="6B63E14B">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EB163">
    <w:pPr>
      <w:pStyle w:val="1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7DF12">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8C4CB">
    <w:pPr>
      <w:pStyle w:val="10"/>
      <w:jc w:val="center"/>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889000" cy="204470"/>
              <wp:effectExtent l="0" t="0" r="0" b="0"/>
              <wp:wrapNone/>
              <wp:docPr id="1" name="文本框 12"/>
              <wp:cNvGraphicFramePr/>
              <a:graphic xmlns:a="http://schemas.openxmlformats.org/drawingml/2006/main">
                <a:graphicData uri="http://schemas.microsoft.com/office/word/2010/wordprocessingShape">
                  <wps:wsp>
                    <wps:cNvSpPr/>
                    <wps:spPr>
                      <a:xfrm>
                        <a:off x="0" y="0"/>
                        <a:ext cx="888999" cy="204647"/>
                      </a:xfrm>
                      <a:prstGeom prst="rect">
                        <a:avLst/>
                      </a:prstGeom>
                      <a:noFill/>
                      <a:ln w="6350" cap="flat" cmpd="sng">
                        <a:noFill/>
                        <a:prstDash val="solid"/>
                        <a:round/>
                      </a:ln>
                    </wps:spPr>
                    <wps:txbx>
                      <w:txbxContent>
                        <w:p w14:paraId="3CA865A7">
                          <w:pPr>
                            <w:pStyle w:val="10"/>
                            <w:rPr>
                              <w:rFonts w:ascii="Times New Roman" w:hAnsi="Times New Roman" w:eastAsia="宋体" w:cs="Times New Roman"/>
                              <w:sz w:val="28"/>
                              <w:szCs w:val="28"/>
                              <w:lang w:eastAsia="zh-CN"/>
                            </w:rPr>
                          </w:pPr>
                          <w:r>
                            <w:rPr>
                              <w:rFonts w:ascii="Times New Roman" w:hAnsi="Times New Roman" w:cs="Times New Roman"/>
                              <w:sz w:val="28"/>
                              <w:szCs w:val="28"/>
                              <w:lang w:eastAsia="zh-CN"/>
                            </w:rPr>
                            <w:t>—</w:t>
                          </w:r>
                          <w:r>
                            <w:rPr>
                              <w:rFonts w:ascii="Times New Roman" w:hAnsi="Times New Roman" w:cs="Times New Roman"/>
                              <w:sz w:val="28"/>
                              <w:szCs w:val="28"/>
                              <w:lang w:val="en-US" w:eastAsia="zh-CN"/>
                            </w:rPr>
                            <w:t xml:space="preserve">  </w:t>
                          </w:r>
                          <w:r>
                            <w:rPr>
                              <w:rFonts w:ascii="Times New Roman" w:hAnsi="Times New Roman" w:cs="Times New Roman"/>
                              <w:sz w:val="28"/>
                              <w:szCs w:val="28"/>
                              <w:lang w:eastAsia="zh-CN"/>
                            </w:rPr>
                            <w:fldChar w:fldCharType="begin"/>
                          </w:r>
                          <w:r>
                            <w:rPr>
                              <w:rFonts w:ascii="Times New Roman" w:hAnsi="Times New Roman" w:cs="Times New Roman"/>
                              <w:sz w:val="28"/>
                              <w:szCs w:val="28"/>
                              <w:lang w:eastAsia="zh-CN"/>
                            </w:rPr>
                            <w:instrText xml:space="preserve"> PAGE  \* MERGEFORMAT </w:instrText>
                          </w:r>
                          <w:r>
                            <w:rPr>
                              <w:rFonts w:ascii="Times New Roman" w:hAnsi="Times New Roman" w:cs="Times New Roman"/>
                              <w:sz w:val="28"/>
                              <w:szCs w:val="28"/>
                              <w:lang w:eastAsia="zh-CN"/>
                            </w:rPr>
                            <w:fldChar w:fldCharType="separate"/>
                          </w:r>
                          <w:r>
                            <w:rPr>
                              <w:rFonts w:ascii="Times New Roman" w:hAnsi="Times New Roman" w:cs="Times New Roman"/>
                              <w:sz w:val="28"/>
                              <w:szCs w:val="28"/>
                              <w:lang w:eastAsia="zh-CN"/>
                            </w:rPr>
                            <w:t>- 1 -</w:t>
                          </w:r>
                          <w:r>
                            <w:rPr>
                              <w:rFonts w:ascii="Times New Roman" w:hAnsi="Times New Roman" w:cs="Times New Roman"/>
                              <w:sz w:val="28"/>
                              <w:szCs w:val="28"/>
                              <w:lang w:eastAsia="zh-CN"/>
                            </w:rPr>
                            <w:fldChar w:fldCharType="end"/>
                          </w:r>
                          <w:r>
                            <w:rPr>
                              <w:rFonts w:ascii="Times New Roman" w:hAnsi="Times New Roman" w:cs="Times New Roman"/>
                              <w:sz w:val="28"/>
                              <w:szCs w:val="28"/>
                              <w:lang w:val="en-US" w:eastAsia="zh-CN"/>
                            </w:rPr>
                            <w:t xml:space="preserve">  </w:t>
                          </w:r>
                          <w:r>
                            <w:rPr>
                              <w:rFonts w:ascii="Times New Roman" w:hAnsi="Times New Roman" w:cs="Times New Roman"/>
                              <w:sz w:val="28"/>
                              <w:szCs w:val="28"/>
                              <w:lang w:eastAsia="zh-CN"/>
                            </w:rPr>
                            <w:t>—</w:t>
                          </w:r>
                        </w:p>
                      </w:txbxContent>
                    </wps:txbx>
                    <wps:bodyPr vert="horz" wrap="none" lIns="0" tIns="0" rIns="0" bIns="0" anchor="t" anchorCtr="0" upright="0">
                      <a:spAutoFit/>
                    </wps:bodyPr>
                  </wps:wsp>
                </a:graphicData>
              </a:graphic>
            </wp:anchor>
          </w:drawing>
        </mc:Choice>
        <mc:Fallback>
          <w:pict>
            <v:rect id="文本框 12" o:spid="_x0000_s1026" o:spt="1" style="position:absolute;left:0pt;margin-top:0pt;height:16.1pt;width:70pt;mso-position-horizontal:outside;mso-position-horizontal-relative:margin;mso-wrap-style:none;z-index:251659264;mso-width-relative:page;mso-height-relative:page;" filled="f" stroked="f" coordsize="21600,21600" o:gfxdata="UEsDBAoAAAAAAIdO4kAAAAAAAAAAAAAAAAAEAAAAZHJzL1BLAwQUAAAACACHTuJAplOdn9YAAAAE&#10;AQAADwAAAGRycy9kb3ducmV2LnhtbE2PQUvDQBCF74L/YRnBS7G7jSISM+lBUUH00FgEb9vsNBua&#10;nY3ZbVL99W696OXB4w3vfVMsD64TIw2h9YywmCsQxLU3LTcI67eHixsQIWo2uvNMCF8UYFmenhQ6&#10;N37iFY1VbEQq4ZBrBBtjn0sZaktOh7nviVO29YPTMdmhkWbQUyp3ncyUupZOt5wWrO7pzlK9q/YO&#10;4eX+8eN9Zp9V9vo92/qpWo+fTzvE87OFugUR6RD/juGIn9ChTEwbv2cTRIeQHom/esyuVLIbhMss&#10;A1kW8j98+QNQSwMEFAAAAAgAh07iQFti2NQGAgAA9QMAAA4AAABkcnMvZTJvRG9jLnhtbK1TS27b&#10;MBDdF+gdCO5ryW7q2oLlIKiRokDRBkh7AJqiJAL8gUNbcg/Q3qCrbrrPuXyODinZDtJNFtlIQ3L4&#10;Zt6bx9V1rxXZCw/SmpJOJzklwnBbSdOU9Pu32zcLSiAwUzFljSjpQQC9Xr9+tepcIWa2taoSniCI&#10;gaJzJW1DcEWWAW+FZjCxThg8rK3XLODSN1nlWYfoWmWzPJ9nnfWV85YLANzdDId0RPTPAbR1LbnY&#10;WL7TwoQB1QvFAlKCVjqg69RtXQsevtY1iEBUSZFpSF8sgvE2frP1ihWNZ66VfGyBPaeFJ5w0kwaL&#10;nqE2LDCy8/I/KC25t2DrMOFWZwORpAiymOZPtLlvmROJC0oN7iw6vBws/7K/80RW6ARKDNM48OPv&#10;X8c/D8e/P8l0FvXpHBSYdu/u/LgCDCPZvvY6/pEG6ZOmh7Omog+E4+ZisVgul5RwPJrlV/Or9xEz&#10;u1x2HsJHYTWJQUk9jiwpyfafIQypp5RYy9hbqRTus0IZ0pV0/vYdDpMztGKNFsBQO6QDpkkwj/Ij&#10;zIZBS/YM3QBWyWqYv7c7Uw2llMHmIuOBY4xCv+3xMIZbWx1QLnw92Glr/Q9KOvROSQ0+FUrUJ4Oj&#10;iTY7Bf4UbE8BMxwvlhQbHcIPYbDjznnZtIibp77B3ewCck0SXGqP3aEbkoijc6PdHq9T1uW1rv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lOdn9YAAAAEAQAADwAAAAAAAAABACAAAAAiAAAAZHJz&#10;L2Rvd25yZXYueG1sUEsBAhQAFAAAAAgAh07iQFti2NQGAgAA9QMAAA4AAAAAAAAAAQAgAAAAJQEA&#10;AGRycy9lMm9Eb2MueG1sUEsFBgAAAAAGAAYAWQEAAJ0FAAAAAA==&#10;">
              <v:fill on="f" focussize="0,0"/>
              <v:stroke on="f" weight="0.5pt" joinstyle="round"/>
              <v:imagedata o:title=""/>
              <o:lock v:ext="edit" aspectratio="f"/>
              <v:textbox inset="0mm,0mm,0mm,0mm" style="mso-fit-shape-to-text:t;">
                <w:txbxContent>
                  <w:p w14:paraId="3CA865A7">
                    <w:pPr>
                      <w:pStyle w:val="10"/>
                      <w:rPr>
                        <w:rFonts w:ascii="Times New Roman" w:hAnsi="Times New Roman" w:eastAsia="宋体" w:cs="Times New Roman"/>
                        <w:sz w:val="28"/>
                        <w:szCs w:val="28"/>
                        <w:lang w:eastAsia="zh-CN"/>
                      </w:rPr>
                    </w:pPr>
                    <w:r>
                      <w:rPr>
                        <w:rFonts w:ascii="Times New Roman" w:hAnsi="Times New Roman" w:cs="Times New Roman"/>
                        <w:sz w:val="28"/>
                        <w:szCs w:val="28"/>
                        <w:lang w:eastAsia="zh-CN"/>
                      </w:rPr>
                      <w:t>—</w:t>
                    </w:r>
                    <w:r>
                      <w:rPr>
                        <w:rFonts w:ascii="Times New Roman" w:hAnsi="Times New Roman" w:cs="Times New Roman"/>
                        <w:sz w:val="28"/>
                        <w:szCs w:val="28"/>
                        <w:lang w:val="en-US" w:eastAsia="zh-CN"/>
                      </w:rPr>
                      <w:t xml:space="preserve">  </w:t>
                    </w:r>
                    <w:r>
                      <w:rPr>
                        <w:rFonts w:ascii="Times New Roman" w:hAnsi="Times New Roman" w:cs="Times New Roman"/>
                        <w:sz w:val="28"/>
                        <w:szCs w:val="28"/>
                        <w:lang w:eastAsia="zh-CN"/>
                      </w:rPr>
                      <w:fldChar w:fldCharType="begin"/>
                    </w:r>
                    <w:r>
                      <w:rPr>
                        <w:rFonts w:ascii="Times New Roman" w:hAnsi="Times New Roman" w:cs="Times New Roman"/>
                        <w:sz w:val="28"/>
                        <w:szCs w:val="28"/>
                        <w:lang w:eastAsia="zh-CN"/>
                      </w:rPr>
                      <w:instrText xml:space="preserve"> PAGE  \* MERGEFORMAT </w:instrText>
                    </w:r>
                    <w:r>
                      <w:rPr>
                        <w:rFonts w:ascii="Times New Roman" w:hAnsi="Times New Roman" w:cs="Times New Roman"/>
                        <w:sz w:val="28"/>
                        <w:szCs w:val="28"/>
                        <w:lang w:eastAsia="zh-CN"/>
                      </w:rPr>
                      <w:fldChar w:fldCharType="separate"/>
                    </w:r>
                    <w:r>
                      <w:rPr>
                        <w:rFonts w:ascii="Times New Roman" w:hAnsi="Times New Roman" w:cs="Times New Roman"/>
                        <w:sz w:val="28"/>
                        <w:szCs w:val="28"/>
                        <w:lang w:eastAsia="zh-CN"/>
                      </w:rPr>
                      <w:t>- 1 -</w:t>
                    </w:r>
                    <w:r>
                      <w:rPr>
                        <w:rFonts w:ascii="Times New Roman" w:hAnsi="Times New Roman" w:cs="Times New Roman"/>
                        <w:sz w:val="28"/>
                        <w:szCs w:val="28"/>
                        <w:lang w:eastAsia="zh-CN"/>
                      </w:rPr>
                      <w:fldChar w:fldCharType="end"/>
                    </w:r>
                    <w:r>
                      <w:rPr>
                        <w:rFonts w:ascii="Times New Roman" w:hAnsi="Times New Roman" w:cs="Times New Roman"/>
                        <w:sz w:val="28"/>
                        <w:szCs w:val="28"/>
                        <w:lang w:val="en-US" w:eastAsia="zh-CN"/>
                      </w:rPr>
                      <w:t xml:space="preserve">  </w:t>
                    </w:r>
                    <w:r>
                      <w:rPr>
                        <w:rFonts w:ascii="Times New Roman" w:hAnsi="Times New Roman" w:cs="Times New Roman"/>
                        <w:sz w:val="28"/>
                        <w:szCs w:val="28"/>
                        <w:lang w:eastAsia="zh-CN"/>
                      </w:rPr>
                      <w:t>—</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33151">
    <w:pPr>
      <w:pStyle w:val="11"/>
      <w:pBdr>
        <w:bottom w:val="none" w:color="auto" w:sz="0" w:space="0"/>
      </w:pBdr>
      <w:rPr>
        <w:rFonts w:eastAsia="方正仿宋_GBK"/>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220"/>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compatSetting w:name="compatibilityMode" w:uri="http://schemas.microsoft.com/office/word" w:val="14"/>
  </w:compat>
  <w:rsids>
    <w:rsidRoot w:val="00000000"/>
    <w:rsid w:val="57BF155B"/>
    <w:rsid w:val="7F9BA22F"/>
    <w:rsid w:val="7FFFDD00"/>
    <w:rsid w:val="B7FB158E"/>
    <w:rsid w:val="DB9B0A44"/>
    <w:rsid w:val="EDDDC2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0"/>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link w:val="21"/>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30"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hAnsi="仿宋_GB2312"/>
      <w:szCs w:val="32"/>
    </w:rPr>
  </w:style>
  <w:style w:type="paragraph" w:styleId="7">
    <w:name w:val="Body Text First Indent 2"/>
    <w:basedOn w:val="6"/>
    <w:qFormat/>
    <w:uiPriority w:val="0"/>
    <w:pPr>
      <w:ind w:firstLine="200" w:firstLineChars="200"/>
    </w:pPr>
  </w:style>
  <w:style w:type="paragraph" w:styleId="8">
    <w:name w:val="toc 3"/>
    <w:basedOn w:val="1"/>
    <w:next w:val="1"/>
    <w:qFormat/>
    <w:uiPriority w:val="0"/>
    <w:pPr>
      <w:tabs>
        <w:tab w:val="right" w:leader="dot" w:pos="8296"/>
      </w:tabs>
      <w:ind w:left="400" w:leftChars="400"/>
    </w:pPr>
  </w:style>
  <w:style w:type="paragraph" w:styleId="9">
    <w:name w:val="Balloon Text"/>
    <w:basedOn w:val="1"/>
    <w:qFormat/>
    <w:uiPriority w:val="0"/>
    <w:rPr>
      <w:sz w:val="18"/>
      <w:szCs w:val="18"/>
    </w:rPr>
  </w:style>
  <w:style w:type="paragraph" w:styleId="10">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qFormat/>
    <w:uiPriority w:val="0"/>
    <w:pPr>
      <w:tabs>
        <w:tab w:val="right" w:leader="dot" w:pos="8296"/>
      </w:tabs>
      <w:spacing w:before="93"/>
      <w:jc w:val="center"/>
    </w:pPr>
    <w:rPr>
      <w:rFonts w:ascii="仿宋" w:eastAsia="仿宋"/>
      <w:sz w:val="28"/>
      <w:szCs w:val="28"/>
    </w:rPr>
  </w:style>
  <w:style w:type="paragraph" w:styleId="13">
    <w:name w:val="footnote text"/>
    <w:basedOn w:val="1"/>
    <w:next w:val="7"/>
    <w:qFormat/>
    <w:uiPriority w:val="0"/>
    <w:pPr>
      <w:snapToGrid w:val="0"/>
      <w:jc w:val="left"/>
    </w:pPr>
    <w:rPr>
      <w:sz w:val="18"/>
      <w:szCs w:val="18"/>
    </w:rPr>
  </w:style>
  <w:style w:type="paragraph" w:styleId="14">
    <w:name w:val="toc 2"/>
    <w:basedOn w:val="1"/>
    <w:next w:val="1"/>
    <w:qFormat/>
    <w:uiPriority w:val="0"/>
    <w:pPr>
      <w:tabs>
        <w:tab w:val="right" w:leader="dot" w:pos="8296"/>
      </w:tabs>
      <w:ind w:left="200" w:leftChars="200"/>
    </w:pPr>
  </w:style>
  <w:style w:type="paragraph" w:styleId="15">
    <w:name w:val="Normal (Web)"/>
    <w:basedOn w:val="1"/>
    <w:qFormat/>
    <w:uiPriority w:val="0"/>
    <w:rPr>
      <w:sz w:val="24"/>
    </w:r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heading 1 Char"/>
    <w:basedOn w:val="17"/>
    <w:link w:val="3"/>
    <w:qFormat/>
    <w:uiPriority w:val="0"/>
    <w:rPr>
      <w:rFonts w:ascii="Times New Roman" w:hAnsi="Times New Roman" w:eastAsia="宋体" w:cs="Times New Roman"/>
      <w:b/>
      <w:bCs/>
      <w:kern w:val="44"/>
      <w:sz w:val="44"/>
      <w:szCs w:val="44"/>
      <w:lang w:val="en-US" w:eastAsia="zh-CN" w:bidi="ar-SA"/>
    </w:rPr>
  </w:style>
  <w:style w:type="character" w:customStyle="1" w:styleId="21">
    <w:name w:val="heading 2 Char"/>
    <w:basedOn w:val="17"/>
    <w:link w:val="4"/>
    <w:qFormat/>
    <w:uiPriority w:val="0"/>
    <w:rPr>
      <w:rFonts w:ascii="Cambria" w:hAnsi="Cambria" w:eastAsia="宋体" w:cs="Times New Roman"/>
      <w:b/>
      <w:bCs/>
      <w:kern w:val="2"/>
      <w:sz w:val="32"/>
      <w:szCs w:val="32"/>
      <w:lang w:val="en-US" w:eastAsia="zh-CN" w:bidi="ar-SA"/>
    </w:rPr>
  </w:style>
  <w:style w:type="paragraph" w:customStyle="1" w:styleId="22">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3"/>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23">
    <w:name w:val="正文-公1"/>
    <w:basedOn w:val="22"/>
    <w:next w:val="1"/>
    <w:qFormat/>
    <w:uiPriority w:val="0"/>
    <w:pPr>
      <w:ind w:firstLine="200" w:firstLineChars="200"/>
    </w:pPr>
  </w:style>
  <w:style w:type="paragraph" w:customStyle="1" w:styleId="24">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5">
    <w:name w:val="Header Char"/>
    <w:basedOn w:val="17"/>
    <w:qFormat/>
    <w:uiPriority w:val="0"/>
    <w:rPr>
      <w:rFonts w:ascii="Times New Roman" w:hAnsi="Times New Roman"/>
      <w:sz w:val="18"/>
      <w:szCs w:val="18"/>
    </w:rPr>
  </w:style>
  <w:style w:type="character" w:customStyle="1" w:styleId="26">
    <w:name w:val="Footer Char"/>
    <w:basedOn w:val="17"/>
    <w:qFormat/>
    <w:uiPriority w:val="0"/>
    <w:rPr>
      <w:rFonts w:ascii="Times New Roman" w:hAnsi="Times New Roman"/>
      <w:sz w:val="18"/>
      <w:szCs w:val="18"/>
    </w:rPr>
  </w:style>
  <w:style w:type="character" w:customStyle="1" w:styleId="27">
    <w:name w:val="Body Text Char"/>
    <w:basedOn w:val="17"/>
    <w:qFormat/>
    <w:uiPriority w:val="0"/>
    <w:rPr>
      <w:rFonts w:ascii="Times New Roman" w:hAnsi="Times New Roman"/>
      <w:szCs w:val="24"/>
    </w:rPr>
  </w:style>
  <w:style w:type="paragraph" w:customStyle="1" w:styleId="28">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9">
    <w:name w:val="List Paragraph"/>
    <w:basedOn w:val="1"/>
    <w:qFormat/>
    <w:uiPriority w:val="0"/>
    <w:pPr>
      <w:ind w:firstLine="200" w:firstLineChars="200"/>
    </w:pPr>
  </w:style>
  <w:style w:type="paragraph" w:customStyle="1" w:styleId="30">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1">
    <w:name w:val="TOC Heading"/>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2">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3">
    <w:name w:val="15"/>
    <w:basedOn w:val="17"/>
    <w:qFormat/>
    <w:uiPriority w:val="0"/>
    <w:rPr>
      <w:rFonts w:ascii="Times New Roman" w:hAnsi="Times New Roman" w:cs="Times New Roman"/>
      <w:b/>
    </w:rPr>
  </w:style>
  <w:style w:type="character" w:customStyle="1" w:styleId="34">
    <w:name w:val="10"/>
    <w:basedOn w:val="17"/>
    <w:qFormat/>
    <w:uiPriority w:val="0"/>
    <w:rPr>
      <w:rFonts w:ascii="Times New Roman" w:hAnsi="Times New Roman" w:cs="Times New Roman"/>
    </w:rPr>
  </w:style>
  <w:style w:type="character" w:customStyle="1" w:styleId="35">
    <w:name w:val="font11"/>
    <w:basedOn w:val="17"/>
    <w:qFormat/>
    <w:uiPriority w:val="0"/>
    <w:rPr>
      <w:rFonts w:ascii="宋体" w:eastAsia="宋体" w:cs="宋体"/>
      <w:color w:val="000000"/>
      <w:sz w:val="20"/>
      <w:szCs w:val="20"/>
      <w:u w:val="none"/>
    </w:rPr>
  </w:style>
  <w:style w:type="character" w:customStyle="1" w:styleId="36">
    <w:name w:val="font31"/>
    <w:basedOn w:val="17"/>
    <w:qFormat/>
    <w:uiPriority w:val="0"/>
    <w:rPr>
      <w:rFonts w:ascii="宋体" w:eastAsia="宋体" w:cs="宋体"/>
      <w:color w:val="000000"/>
      <w:sz w:val="20"/>
      <w:szCs w:val="20"/>
      <w:u w:val="none"/>
    </w:rPr>
  </w:style>
  <w:style w:type="character" w:customStyle="1" w:styleId="37">
    <w:name w:val="font41"/>
    <w:basedOn w:val="17"/>
    <w:qFormat/>
    <w:uiPriority w:val="0"/>
    <w:rPr>
      <w:rFonts w:ascii="MS Gothic" w:eastAsia="MS Gothic" w:cs="MS Gothic"/>
      <w:color w:val="000000"/>
      <w:sz w:val="20"/>
      <w:szCs w:val="20"/>
      <w:u w:val="none"/>
    </w:rPr>
  </w:style>
  <w:style w:type="character" w:customStyle="1" w:styleId="38">
    <w:name w:val="font21"/>
    <w:basedOn w:val="17"/>
    <w:qFormat/>
    <w:uiPriority w:val="0"/>
    <w:rPr>
      <w:rFonts w:ascii="微软雅黑" w:eastAsia="微软雅黑" w:cs="微软雅黑"/>
      <w:i/>
      <w:color w:val="000000"/>
      <w:sz w:val="16"/>
      <w:szCs w:val="16"/>
      <w:u w:val="none"/>
      <w:lang w:bidi="ar-SA"/>
    </w:rPr>
  </w:style>
  <w:style w:type="character" w:customStyle="1" w:styleId="39">
    <w:name w:val="font51"/>
    <w:basedOn w:val="17"/>
    <w:qFormat/>
    <w:uiPriority w:val="0"/>
    <w:rPr>
      <w:rFonts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c:v>
                </c:pt>
              </c:strCache>
            </c:strRef>
          </c:tx>
          <c:spPr>
            <a:solidFill>
              <a:srgbClr val="4F81BD"/>
            </a:solidFill>
            <a:ln>
              <a:noFill/>
            </a:ln>
          </c:spPr>
          <c:invertIfNegative val="0"/>
          <c:dLbls>
            <c:dLbl>
              <c:idx val="0"/>
              <c:delete val="1"/>
            </c:dLbl>
            <c:dLbl>
              <c:idx val="1"/>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收入决算数</c:v>
                </c:pt>
                <c:pt idx="1">
                  <c:v>支出决算数</c:v>
                </c:pt>
              </c:strCache>
            </c:strRef>
          </c:cat>
          <c:val>
            <c:numRef>
              <c:f>'Sheet1'!$B$2:$B$3</c:f>
              <c:numCache>
                <c:formatCode>General</c:formatCode>
                <c:ptCount val="2"/>
                <c:pt idx="0">
                  <c:v>3830.82</c:v>
                </c:pt>
                <c:pt idx="1">
                  <c:v>3830.82</c:v>
                </c:pt>
              </c:numCache>
            </c:numRef>
          </c:val>
        </c:ser>
        <c:ser>
          <c:idx val="1"/>
          <c:order val="1"/>
          <c:tx>
            <c:strRef>
              <c:f>'Sheet1'!$C$1</c:f>
              <c:strCache>
                <c:ptCount val="1"/>
                <c:pt idx="0">
                  <c:v>2025年</c:v>
                </c:pt>
              </c:strCache>
            </c:strRef>
          </c:tx>
          <c:spPr>
            <a:solidFill>
              <a:srgbClr val="C0504D"/>
            </a:solidFill>
            <a:ln>
              <a:noFill/>
            </a:ln>
          </c:spPr>
          <c:invertIfNegative val="0"/>
          <c:dLbls>
            <c:dLbl>
              <c:idx val="0"/>
              <c:delete val="1"/>
            </c:dLbl>
            <c:dLbl>
              <c:idx val="1"/>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收入决算数</c:v>
                </c:pt>
                <c:pt idx="1">
                  <c:v>支出决算数</c:v>
                </c:pt>
              </c:strCache>
            </c:strRef>
          </c:cat>
          <c:val>
            <c:numRef>
              <c:f>'Sheet1'!$C$2:$C$3</c:f>
              <c:numCache>
                <c:formatCode>General</c:formatCode>
                <c:ptCount val="2"/>
                <c:pt idx="0">
                  <c:v>3298.85</c:v>
                </c:pt>
                <c:pt idx="1">
                  <c:v>3298.85</c:v>
                </c:pt>
              </c:numCache>
            </c:numRef>
          </c:val>
        </c:ser>
        <c:ser>
          <c:idx val="2"/>
          <c:order val="2"/>
          <c:spPr>
            <a:solidFill>
              <a:srgbClr val="9BBB59"/>
            </a:solidFill>
            <a:ln>
              <a:noFill/>
            </a:ln>
          </c:spPr>
          <c:invertIfNegative val="0"/>
          <c:dLbls>
            <c:dLbl>
              <c:idx val="0"/>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收入决算数</c:v>
                </c:pt>
                <c:pt idx="1">
                  <c:v>支出决算数</c:v>
                </c:pt>
              </c:strCache>
            </c:strRef>
          </c:cat>
          <c:val>
            <c:numRef>
              <c:f>{1}</c:f>
              <c:numCache>
                <c:formatCode>General</c:formatCode>
                <c:ptCount val="1"/>
                <c:pt idx="0">
                  <c:v>1</c:v>
                </c:pt>
              </c:numCache>
            </c:numRef>
          </c:val>
        </c:ser>
        <c:dLbls>
          <c:showLegendKey val="0"/>
          <c:showVal val="0"/>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crossAx val="0"/>
        <c:crossesAt val="1"/>
        <c:crossBetween val="between"/>
      </c:valAx>
      <c:spPr>
        <a:noFill/>
        <a:ln>
          <a:noFill/>
        </a:ln>
      </c:spPr>
    </c:plotArea>
    <c:legend>
      <c:legendPos val="b"/>
      <c:legendEntry>
        <c:idx val="0"/>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Entry>
      <c:legendEntry>
        <c:idx val="1"/>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Entry>
      <c:legendEntry>
        <c:idx val="2"/>
        <c:delete val="1"/>
      </c:legendEntry>
      <c:layout/>
      <c:overlay val="0"/>
      <c:spPr>
        <a:noFill/>
        <a:ln>
          <a:noFill/>
        </a:ln>
      </c:spPr>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
    <c:plotVisOnly val="1"/>
    <c:dispBlanksAs val="gap"/>
    <c:showDLblsOverMax val="0"/>
    <c:extLst>
      <c:ext uri="{0b15fc19-7d7d-44ad-8c2d-2c3a37ce22c3}">
        <chartProps xmlns="https://web.wps.cn/et/2018/main" chartId="{ec1352b8-60b0-40fe-9d33-34bddb97e5a4}"/>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 (2)'!$B$1</c:f>
              <c:strCache>
                <c:ptCount val="1"/>
                <c:pt idx="0">
                  <c:v/>
                </c:pt>
              </c:strCache>
            </c:strRef>
          </c:tx>
          <c:spPr>
            <a:ln>
              <a:noFill/>
            </a:ln>
          </c:spPr>
          <c:explosion val="0"/>
          <c:dPt>
            <c:idx val="0"/>
            <c:bubble3D val="0"/>
            <c:spPr>
              <a:solidFill>
                <a:srgbClr val="4F81BD"/>
              </a:solidFill>
              <a:ln w="19050">
                <a:solidFill>
                  <a:srgbClr val="FFFFFF"/>
                </a:solidFill>
                <a:prstDash val="solid"/>
              </a:ln>
            </c:spPr>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a:ea typeface="宋体"/>
                        <a:cs typeface="Lucida Sans"/>
                      </a:defRPr>
                    </a:pPr>
                    <a:r>
                      <a:rPr lang="zh-CN" sz="1000" b="0" i="0" u="none" strike="noStrike" baseline="0">
                        <a:solidFill>
                          <a:srgbClr val="404040"/>
                        </a:solidFill>
                        <a:latin typeface="Times New Roman"/>
                        <a:ea typeface="宋体"/>
                        <a:cs typeface="Lucida Sans"/>
                      </a:rPr>
                      <a:t>100%</a:t>
                    </a:r>
                    <a:endParaRPr lang="zh-CN" sz="1000" b="0" i="0" u="none" strike="noStrike" baseline="0">
                      <a:solidFill>
                        <a:srgbClr val="404040"/>
                      </a:solidFill>
                      <a:latin typeface="Times New Roman"/>
                      <a:ea typeface="宋体"/>
                      <a:cs typeface="Lucida Sans"/>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a:ea typeface="宋体"/>
                      <a:cs typeface="Lucida Sans"/>
                    </a:defRPr>
                  </a:pPr>
                </a:p>
              </c:txPr>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(2)'!$A$2</c:f>
              <c:strCache>
                <c:ptCount val="1"/>
                <c:pt idx="0">
                  <c:v>一般公共预算收入</c:v>
                </c:pt>
              </c:strCache>
            </c:strRef>
          </c:cat>
          <c:val>
            <c:numRef>
              <c:f>Sheet1 (2)!$B$2</c:f>
              <c:numCache>
                <c:formatCode>General</c:formatCode>
                <c:ptCount val="1"/>
                <c:pt idx="0">
                  <c:v>100</c:v>
                </c:pt>
              </c:numCache>
            </c:numRef>
          </c:val>
        </c:ser>
        <c:dLbls>
          <c:showLegendKey val="0"/>
          <c:showVal val="0"/>
          <c:showCatName val="0"/>
          <c:showSerName val="0"/>
          <c:showPercent val="0"/>
          <c:showBubbleSize val="0"/>
          <c:showLeaderLines val="1"/>
        </c:dLbls>
        <c:firstSliceAng val="0"/>
      </c:pieChart>
      <c:spPr>
        <a:noFill/>
        <a:ln>
          <a:noFill/>
        </a:ln>
      </c:spPr>
    </c:plotArea>
    <c:legend>
      <c:legendPos val="t"/>
      <c:legendEntry>
        <c:idx val="0"/>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Entry>
      <c:layout>
        <c:manualLayout>
          <c:xMode val="edge"/>
          <c:yMode val="edge"/>
          <c:x val="0.31046146"/>
          <c:y val="0.040373992"/>
          <c:w val="0.39007005"/>
          <c:h val="0.14980875"/>
        </c:manualLayout>
      </c:layout>
      <c:overlay val="0"/>
      <c:spPr>
        <a:noFill/>
        <a:ln>
          <a:noFill/>
        </a:ln>
      </c:spPr>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
    <c:plotVisOnly val="1"/>
    <c:dispBlanksAs val="gap"/>
    <c:showDLblsOverMax val="0"/>
    <c:extLst>
      <c:ext uri="{0b15fc19-7d7d-44ad-8c2d-2c3a37ce22c3}">
        <chartProps xmlns="https://web.wps.cn/et/2018/main" chartId="{903d329e-ebd9-4ffe-b65c-65d3e2e7d403}"/>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 (3)'!$B$1</c:f>
              <c:strCache>
                <c:ptCount val="1"/>
                <c:pt idx="0">
                  <c:v/>
                </c:pt>
              </c:strCache>
            </c:strRef>
          </c:tx>
          <c:spPr>
            <a:ln>
              <a:noFill/>
            </a:ln>
          </c:spPr>
          <c:explosion val="0"/>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Lbls>
            <c:numFmt formatCode="0.00%"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a:ea typeface="宋体"/>
                    <a:cs typeface="Lucida Sans"/>
                  </a:defRPr>
                </a:pPr>
              </a:p>
            </c:txPr>
            <c:dLblPos val="ctr"/>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(3)'!$A$2:$A$3</c:f>
              <c:strCache>
                <c:ptCount val="2"/>
                <c:pt idx="0">
                  <c:v>基本支出</c:v>
                </c:pt>
                <c:pt idx="1">
                  <c:v>项目支出</c:v>
                </c:pt>
              </c:strCache>
            </c:strRef>
          </c:cat>
          <c:val>
            <c:numRef>
              <c:f>'Sheet1 (3)'!$B$2:$B$3</c:f>
              <c:numCache>
                <c:formatCode>0.00%</c:formatCode>
                <c:ptCount val="2"/>
                <c:pt idx="0">
                  <c:v>0.5271</c:v>
                </c:pt>
                <c:pt idx="1">
                  <c:v>0.4729</c:v>
                </c:pt>
              </c:numCache>
            </c:numRef>
          </c:val>
        </c:ser>
        <c:dLbls>
          <c:showLegendKey val="0"/>
          <c:showVal val="1"/>
          <c:showCatName val="0"/>
          <c:showSerName val="0"/>
          <c:showPercent val="0"/>
          <c:showBubbleSize val="0"/>
          <c:showLeaderLines val="1"/>
        </c:dLbls>
        <c:firstSliceAng val="0"/>
      </c:pieChart>
      <c:spPr>
        <a:noFill/>
        <a:ln>
          <a:noFill/>
        </a:ln>
      </c:spPr>
    </c:plotArea>
    <c:legend>
      <c:legendPos val="t"/>
      <c:legendEntry>
        <c:idx val="0"/>
        <c:txPr>
          <a:bodyPr rot="0" spcFirstLastPara="0" vertOverflow="ellipsis" vert="horz" wrap="square" anchor="ctr" anchorCtr="1"/>
          <a:lstStyle/>
          <a:p>
            <a:pPr>
              <a:defRPr lang="zh-CN" sz="1400" b="0" i="0" u="none" strike="noStrike" kern="1200" baseline="0">
                <a:solidFill>
                  <a:srgbClr val="595959"/>
                </a:solidFill>
                <a:latin typeface="Times New Roman"/>
                <a:ea typeface="宋体"/>
                <a:cs typeface="Lucida Sans"/>
              </a:defRPr>
            </a:pPr>
          </a:p>
        </c:txPr>
      </c:legendEntry>
      <c:legendEntry>
        <c:idx val="1"/>
        <c:txPr>
          <a:bodyPr rot="0" spcFirstLastPara="0" vertOverflow="ellipsis" vert="horz" wrap="square" anchor="ctr" anchorCtr="1"/>
          <a:lstStyle/>
          <a:p>
            <a:pPr>
              <a:defRPr lang="zh-CN" sz="1400" b="0" i="0" u="none" strike="noStrike" kern="1200" baseline="0">
                <a:solidFill>
                  <a:srgbClr val="595959"/>
                </a:solidFill>
                <a:latin typeface="Times New Roman"/>
                <a:ea typeface="宋体"/>
                <a:cs typeface="Lucida Sans"/>
              </a:defRPr>
            </a:pPr>
          </a:p>
        </c:txPr>
      </c:legendEntry>
      <c:layout/>
      <c:overlay val="0"/>
      <c:spPr>
        <a:noFill/>
        <a:ln>
          <a:noFill/>
        </a:ln>
      </c:spPr>
      <c:txPr>
        <a:bodyPr rot="0" spcFirstLastPara="0" vertOverflow="ellipsis" vert="horz" wrap="square" anchor="ctr" anchorCtr="1"/>
        <a:lstStyle/>
        <a:p>
          <a:pPr>
            <a:defRPr lang="zh-CN" sz="1400" b="0" i="0" u="none" strike="noStrike" kern="1200" baseline="0">
              <a:solidFill>
                <a:srgbClr val="595959"/>
              </a:solidFill>
              <a:latin typeface="Times New Roman"/>
              <a:ea typeface="宋体"/>
              <a:cs typeface="Lucida Sans"/>
            </a:defRPr>
          </a:pPr>
        </a:p>
      </c:txPr>
    </c:legend>
    <c:plotVisOnly val="1"/>
    <c:dispBlanksAs val="gap"/>
    <c:showDLblsOverMax val="0"/>
    <c:extLst>
      <c:ext uri="{0b15fc19-7d7d-44ad-8c2d-2c3a37ce22c3}">
        <chartProps xmlns="https://web.wps.cn/et/2018/main" chartId="{5fbc23a9-4bb4-4511-b0de-20d9415d3037}"/>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 (4)'!$B$1</c:f>
              <c:strCache>
                <c:ptCount val="1"/>
                <c:pt idx="0">
                  <c:v>2024年</c:v>
                </c:pt>
              </c:strCache>
            </c:strRef>
          </c:tx>
          <c:spPr>
            <a:solidFill>
              <a:srgbClr val="4F81BD"/>
            </a:solidFill>
            <a:ln>
              <a:noFill/>
            </a:ln>
          </c:spPr>
          <c:invertIfNegative val="0"/>
          <c:dLbls>
            <c:dLbl>
              <c:idx val="0"/>
              <c:delete val="1"/>
            </c:dLbl>
            <c:dLbl>
              <c:idx val="1"/>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(4)'!$A$2:$A$3</c:f>
              <c:strCache>
                <c:ptCount val="2"/>
                <c:pt idx="0">
                  <c:v>财政拨款收入</c:v>
                </c:pt>
                <c:pt idx="1">
                  <c:v>财政拨款支出</c:v>
                </c:pt>
              </c:strCache>
            </c:strRef>
          </c:cat>
          <c:val>
            <c:numRef>
              <c:f>'Sheet1 (4)'!$B$2:$B$3</c:f>
              <c:numCache>
                <c:formatCode>General</c:formatCode>
                <c:ptCount val="2"/>
                <c:pt idx="0">
                  <c:v>3830.82</c:v>
                </c:pt>
                <c:pt idx="1">
                  <c:v>3830.82</c:v>
                </c:pt>
              </c:numCache>
            </c:numRef>
          </c:val>
        </c:ser>
        <c:ser>
          <c:idx val="1"/>
          <c:order val="1"/>
          <c:tx>
            <c:strRef>
              <c:f>'Sheet1 (4)'!$C$1</c:f>
              <c:strCache>
                <c:ptCount val="1"/>
                <c:pt idx="0">
                  <c:v>2025年</c:v>
                </c:pt>
              </c:strCache>
            </c:strRef>
          </c:tx>
          <c:spPr>
            <a:solidFill>
              <a:srgbClr val="C0504D"/>
            </a:solidFill>
            <a:ln>
              <a:noFill/>
            </a:ln>
          </c:spPr>
          <c:invertIfNegative val="0"/>
          <c:dLbls>
            <c:dLbl>
              <c:idx val="0"/>
              <c:delete val="1"/>
            </c:dLbl>
            <c:dLbl>
              <c:idx val="1"/>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(4)'!$A$2:$A$3</c:f>
              <c:strCache>
                <c:ptCount val="2"/>
                <c:pt idx="0">
                  <c:v>财政拨款收入</c:v>
                </c:pt>
                <c:pt idx="1">
                  <c:v>财政拨款支出</c:v>
                </c:pt>
              </c:strCache>
            </c:strRef>
          </c:cat>
          <c:val>
            <c:numRef>
              <c:f>'Sheet1 (4)'!$C$2:$C$3</c:f>
              <c:numCache>
                <c:formatCode>General</c:formatCode>
                <c:ptCount val="2"/>
                <c:pt idx="0">
                  <c:v>3298.85</c:v>
                </c:pt>
                <c:pt idx="1">
                  <c:v>3298.85</c:v>
                </c:pt>
              </c:numCache>
            </c:numRef>
          </c:val>
        </c:ser>
        <c:ser>
          <c:idx val="2"/>
          <c:order val="2"/>
          <c:spPr>
            <a:solidFill>
              <a:srgbClr val="9BBB59"/>
            </a:solidFill>
            <a:ln>
              <a:noFill/>
            </a:ln>
          </c:spPr>
          <c:invertIfNegative val="0"/>
          <c:dLbls>
            <c:dLbl>
              <c:idx val="0"/>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(4)'!$A$2:$A$3</c:f>
              <c:strCache>
                <c:ptCount val="2"/>
                <c:pt idx="0">
                  <c:v>财政拨款收入</c:v>
                </c:pt>
                <c:pt idx="1">
                  <c:v>财政拨款支出</c:v>
                </c:pt>
              </c:strCache>
            </c:strRef>
          </c:cat>
          <c:val>
            <c:numRef>
              <c:f>{1}</c:f>
              <c:numCache>
                <c:formatCode>General</c:formatCode>
                <c:ptCount val="1"/>
                <c:pt idx="0">
                  <c:v>1</c:v>
                </c:pt>
              </c:numCache>
            </c:numRef>
          </c:val>
        </c:ser>
        <c:dLbls>
          <c:showLegendKey val="0"/>
          <c:showVal val="0"/>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crossAx val="0"/>
        <c:crossesAt val="1"/>
        <c:crossBetween val="between"/>
      </c:valAx>
      <c:spPr>
        <a:noFill/>
        <a:ln>
          <a:noFill/>
        </a:ln>
      </c:spPr>
    </c:plotArea>
    <c:legend>
      <c:legendPos val="b"/>
      <c:legendEntry>
        <c:idx val="0"/>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Entry>
      <c:legendEntry>
        <c:idx val="1"/>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Entry>
      <c:legendEntry>
        <c:idx val="2"/>
        <c:delete val="1"/>
      </c:legendEntry>
      <c:layout>
        <c:manualLayout>
          <c:xMode val="edge"/>
          <c:yMode val="edge"/>
          <c:x val="0.32377455"/>
          <c:y val="0.86263734"/>
          <c:w val="0.40754345"/>
          <c:h val="0.10858189"/>
        </c:manualLayout>
      </c:layout>
      <c:overlay val="0"/>
      <c:spPr>
        <a:noFill/>
        <a:ln>
          <a:noFill/>
        </a:ln>
      </c:spPr>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
    <c:plotVisOnly val="1"/>
    <c:dispBlanksAs val="gap"/>
    <c:showDLblsOverMax val="0"/>
    <c:extLst>
      <c:ext uri="{0b15fc19-7d7d-44ad-8c2d-2c3a37ce22c3}">
        <chartProps xmlns="https://web.wps.cn/et/2018/main" chartId="{43e8459d-2db1-4ef8-b93c-6f97912b64ee}"/>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a:ea typeface="宋体"/>
                <a:cs typeface="Lucida Sans"/>
              </a:defRPr>
            </a:pPr>
            <a:r>
              <a:rPr lang="zh-CN"/>
              <a:t>一般公共预算财政拨款支出</a:t>
            </a:r>
            <a:endParaRPr lang="zh-CN"/>
          </a:p>
        </c:rich>
      </c:tx>
      <c:layout>
        <c:manualLayout>
          <c:xMode val="edge"/>
          <c:yMode val="edge"/>
          <c:x val="0.25477168"/>
          <c:y val="0.028686782"/>
        </c:manualLayout>
      </c:layout>
      <c:overlay val="0"/>
      <c:spPr>
        <a:noFill/>
        <a:ln>
          <a:noFill/>
        </a:ln>
      </c:spPr>
    </c:title>
    <c:autoTitleDeleted val="0"/>
    <c:plotArea>
      <c:layout>
        <c:manualLayout>
          <c:layoutTarget val="inner"/>
          <c:xMode val="edge"/>
          <c:yMode val="edge"/>
          <c:x val="0.087654024"/>
          <c:y val="0.15873353"/>
          <c:w val="0.8857695"/>
          <c:h val="0.661581"/>
        </c:manualLayout>
      </c:layout>
      <c:barChart>
        <c:barDir val="col"/>
        <c:grouping val="clustered"/>
        <c:varyColors val="0"/>
        <c:ser>
          <c:idx val="0"/>
          <c:order val="0"/>
          <c:tx>
            <c:strRef>
              <c:f>'Sheet1 (5)'!$B$1</c:f>
              <c:strCache>
                <c:ptCount val="1"/>
                <c:pt idx="0">
                  <c:v>2024年</c:v>
                </c:pt>
              </c:strCache>
            </c:strRef>
          </c:tx>
          <c:spPr>
            <a:solidFill>
              <a:srgbClr val="4F81BD"/>
            </a:solidFill>
            <a:ln>
              <a:noFill/>
            </a:ln>
          </c:spPr>
          <c:invertIfNegative val="0"/>
          <c:dLbls>
            <c:dLbl>
              <c:idx val="0"/>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 (5)'!$A$2</c:f>
              <c:numCache>
                <c:formatCode>General</c:formatCode>
                <c:ptCount val="1"/>
              </c:numCache>
            </c:numRef>
          </c:cat>
          <c:val>
            <c:numRef>
              <c:f>Sheet1 (5)!$B$2</c:f>
              <c:numCache>
                <c:formatCode>General</c:formatCode>
                <c:ptCount val="1"/>
                <c:pt idx="0">
                  <c:v>3790.82</c:v>
                </c:pt>
              </c:numCache>
            </c:numRef>
          </c:val>
        </c:ser>
        <c:ser>
          <c:idx val="1"/>
          <c:order val="1"/>
          <c:tx>
            <c:strRef>
              <c:f>'Sheet1 (5)'!$C$1</c:f>
              <c:strCache>
                <c:ptCount val="1"/>
                <c:pt idx="0">
                  <c:v>2025年</c:v>
                </c:pt>
              </c:strCache>
            </c:strRef>
          </c:tx>
          <c:spPr>
            <a:solidFill>
              <a:srgbClr val="C0504D"/>
            </a:solidFill>
            <a:ln>
              <a:noFill/>
            </a:ln>
          </c:spPr>
          <c:invertIfNegative val="0"/>
          <c:dLbls>
            <c:dLbl>
              <c:idx val="0"/>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 (5)'!$A$2</c:f>
              <c:numCache>
                <c:formatCode>General</c:formatCode>
                <c:ptCount val="1"/>
              </c:numCache>
            </c:numRef>
          </c:cat>
          <c:val>
            <c:numRef>
              <c:f>Sheet1 (5)!$C$2</c:f>
              <c:numCache>
                <c:formatCode>General</c:formatCode>
                <c:ptCount val="1"/>
                <c:pt idx="0">
                  <c:v>3298.85</c:v>
                </c:pt>
              </c:numCache>
            </c:numRef>
          </c:val>
        </c:ser>
        <c:ser>
          <c:idx val="2"/>
          <c:order val="2"/>
          <c:spPr>
            <a:solidFill>
              <a:srgbClr val="9BBB59"/>
            </a:solidFill>
            <a:ln>
              <a:noFill/>
            </a:ln>
          </c:spPr>
          <c:invertIfNegative val="0"/>
          <c:dLbls>
            <c:dLbl>
              <c:idx val="0"/>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 (5)'!$A$2</c:f>
              <c:numCache>
                <c:formatCode>General</c:formatCode>
                <c:ptCount val="1"/>
              </c:numCache>
            </c:numRef>
          </c:cat>
          <c:val>
            <c:numRef>
              <c:f>{1}</c:f>
              <c:numCache>
                <c:formatCode>General</c:formatCode>
                <c:ptCount val="1"/>
                <c:pt idx="0">
                  <c:v>1</c:v>
                </c:pt>
              </c:numCache>
            </c:numRef>
          </c:val>
        </c:ser>
        <c:dLbls>
          <c:showLegendKey val="0"/>
          <c:showVal val="0"/>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crossAx val="0"/>
        <c:crossesAt val="1"/>
        <c:crossBetween val="between"/>
      </c:valAx>
      <c:spPr>
        <a:noFill/>
        <a:ln>
          <a:noFill/>
        </a:ln>
      </c:spPr>
    </c:plotArea>
    <c:legend>
      <c:legendPos val="b"/>
      <c:legendEntry>
        <c:idx val="0"/>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Entry>
      <c:legendEntry>
        <c:idx val="1"/>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Entry>
      <c:legendEntry>
        <c:idx val="2"/>
        <c:delete val="1"/>
      </c:legendEntry>
      <c:layout>
        <c:manualLayout>
          <c:xMode val="edge"/>
          <c:yMode val="edge"/>
          <c:x val="0.34791014"/>
          <c:y val="0.8748406"/>
          <c:w val="0.28158975"/>
          <c:h val="0.09647259"/>
        </c:manualLayout>
      </c:layout>
      <c:overlay val="0"/>
      <c:spPr>
        <a:noFill/>
        <a:ln>
          <a:noFill/>
        </a:ln>
      </c:spPr>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
    <c:plotVisOnly val="1"/>
    <c:dispBlanksAs val="gap"/>
    <c:showDLblsOverMax val="0"/>
    <c:extLst>
      <c:ext uri="{0b15fc19-7d7d-44ad-8c2d-2c3a37ce22c3}">
        <chartProps xmlns="https://web.wps.cn/et/2018/main" chartId="{5e98c0e6-3ed7-4074-94e2-558c62910b2e}"/>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 (6)'!$B$1</c:f>
              <c:strCache>
                <c:ptCount val="1"/>
                <c:pt idx="0">
                  <c:v>销售额</c:v>
                </c:pt>
              </c:strCache>
            </c:strRef>
          </c:tx>
          <c:spPr>
            <a:ln>
              <a:noFill/>
            </a:ln>
          </c:spPr>
          <c:explosion val="0"/>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Pt>
            <c:idx val="4"/>
            <c:bubble3D val="0"/>
            <c:spPr>
              <a:solidFill>
                <a:srgbClr val="4BACC6"/>
              </a:solidFill>
              <a:ln w="19050">
                <a:solidFill>
                  <a:srgbClr val="FFFFFF"/>
                </a:solidFill>
                <a:prstDash val="solid"/>
              </a:ln>
            </c:spPr>
          </c:dPt>
          <c:dPt>
            <c:idx val="5"/>
            <c:bubble3D val="0"/>
            <c:spPr>
              <a:solidFill>
                <a:srgbClr val="F79646"/>
              </a:solidFill>
              <a:ln w="19050">
                <a:solidFill>
                  <a:srgbClr val="FFFFFF"/>
                </a:solidFill>
                <a:prstDash val="solid"/>
              </a:ln>
            </c:spPr>
          </c:dPt>
          <c:dLbls>
            <c:dLbl>
              <c:idx val="2"/>
              <c:layout>
                <c:manualLayout>
                  <c:x val="0.06555508"/>
                  <c:y val="0.11106355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a:ea typeface="宋体"/>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886223"/>
                  <c:y val="0.15707839"/>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a:ea typeface="宋体"/>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3760261"/>
                  <c:y val="0.10444929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a:ea typeface="宋体"/>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0.00%"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a:ea typeface="宋体"/>
                    <a:cs typeface="Lucida Sans"/>
                  </a:defRPr>
                </a:pPr>
              </a:p>
            </c:txPr>
            <c:dLblPos val="ctr"/>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(6)'!$A$2:$A$7</c:f>
              <c:strCache>
                <c:ptCount val="6"/>
                <c:pt idx="0">
                  <c:v>一般公共预算支出</c:v>
                </c:pt>
                <c:pt idx="1">
                  <c:v>文化旅游体育与传媒支出</c:v>
                </c:pt>
                <c:pt idx="2">
                  <c:v>社会保障和就业支出</c:v>
                </c:pt>
                <c:pt idx="3">
                  <c:v>卫生健康支出</c:v>
                </c:pt>
                <c:pt idx="4">
                  <c:v>住房保障支出</c:v>
                </c:pt>
                <c:pt idx="5">
                  <c:v>教育支出</c:v>
                </c:pt>
              </c:strCache>
            </c:strRef>
          </c:cat>
          <c:val>
            <c:numRef>
              <c:f>'Sheet1 (6)'!$B$2:$B$7</c:f>
              <c:numCache>
                <c:formatCode>0.00%</c:formatCode>
                <c:ptCount val="6"/>
                <c:pt idx="0">
                  <c:v>0.8783</c:v>
                </c:pt>
                <c:pt idx="1">
                  <c:v>0.0193</c:v>
                </c:pt>
                <c:pt idx="2">
                  <c:v>0.0456</c:v>
                </c:pt>
                <c:pt idx="3">
                  <c:v>0.0212</c:v>
                </c:pt>
                <c:pt idx="4">
                  <c:v>0.0329</c:v>
                </c:pt>
                <c:pt idx="5">
                  <c:v>0.0027</c:v>
                </c:pt>
              </c:numCache>
            </c:numRef>
          </c:val>
        </c:ser>
        <c:dLbls>
          <c:showLegendKey val="0"/>
          <c:showVal val="1"/>
          <c:showCatName val="0"/>
          <c:showSerName val="0"/>
          <c:showPercent val="0"/>
          <c:showBubbleSize val="0"/>
          <c:showLeaderLines val="1"/>
        </c:dLbls>
        <c:firstSliceAng val="0"/>
      </c:pie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legend>
    <c:plotVisOnly val="1"/>
    <c:dispBlanksAs val="gap"/>
    <c:showDLblsOverMax val="0"/>
    <c:extLst>
      <c:ext uri="{0b15fc19-7d7d-44ad-8c2d-2c3a37ce22c3}">
        <chartProps xmlns="https://web.wps.cn/et/2018/main" chartId="{d4e60ada-866e-4e0b-8acc-304be8ee5011}"/>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a:ea typeface="宋体"/>
                <a:cs typeface="Lucida Sans"/>
              </a:defRPr>
            </a:pPr>
            <a:r>
              <a:rPr lang="zh-CN"/>
              <a:t>	</a:t>
            </a:r>
            <a:endParaRPr lang="zh-CN"/>
          </a:p>
        </c:rich>
      </c:tx>
      <c:layout/>
      <c:overlay val="0"/>
      <c:spPr>
        <a:noFill/>
        <a:ln>
          <a:noFill/>
        </a:ln>
      </c:spPr>
    </c:title>
    <c:autoTitleDeleted val="0"/>
    <c:plotArea>
      <c:layout/>
      <c:pieChart>
        <c:varyColors val="1"/>
        <c:ser>
          <c:idx val="0"/>
          <c:order val="0"/>
          <c:tx>
            <c:strRef>
              <c:f>'Sheet1 (7)'!$B$1</c:f>
              <c:strCache>
                <c:ptCount val="1"/>
                <c:pt idx="0">
                  <c:v/>
                </c:pt>
              </c:strCache>
            </c:strRef>
          </c:tx>
          <c:spPr>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dLbl>
              <c:idx val="0"/>
              <c:delete val="1"/>
            </c:dLbl>
            <c:dLbl>
              <c:idx val="1"/>
              <c:delete val="1"/>
            </c:dLbl>
            <c:numFmt formatCode="0.00%"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bestFit"/>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(7)'!$A$2:$A$3</c:f>
              <c:strCache>
                <c:ptCount val="2"/>
                <c:pt idx="0">
                  <c:v>公务用车及运行维护费</c:v>
                </c:pt>
                <c:pt idx="1">
                  <c:v>公务接待费</c:v>
                </c:pt>
              </c:strCache>
            </c:strRef>
          </c:cat>
          <c:val>
            <c:numRef>
              <c:f>'Sheet1 (7)'!$B$2:$B$3</c:f>
              <c:numCache>
                <c:formatCode>0.00%</c:formatCode>
                <c:ptCount val="2"/>
                <c:pt idx="0">
                  <c:v>0.7718</c:v>
                </c:pt>
                <c:pt idx="1">
                  <c:v>0.2282</c:v>
                </c:pt>
              </c:numCache>
            </c:numRef>
          </c:val>
        </c:ser>
        <c:dLbls>
          <c:showLegendKey val="0"/>
          <c:showVal val="0"/>
          <c:showCatName val="0"/>
          <c:showSerName val="0"/>
          <c:showPercent val="0"/>
          <c:showBubbleSize val="0"/>
          <c:showLeaderLines val="1"/>
        </c:dLbls>
        <c:firstSliceAng val="0"/>
      </c:pieChart>
      <c:spPr>
        <a:noFill/>
        <a:ln>
          <a:noFill/>
        </a:ln>
      </c:spPr>
    </c:plotArea>
    <c:legend>
      <c:legendPos val="t"/>
      <c:legendEntry>
        <c:idx val="0"/>
        <c:txPr>
          <a:bodyPr rot="0" spcFirstLastPara="0" vertOverflow="ellipsis" vert="horz" wrap="square" anchor="ctr" anchorCtr="1"/>
          <a:lstStyle/>
          <a:p>
            <a:pPr>
              <a:defRPr lang="zh-CN" sz="1050" b="0" i="0" u="none" strike="noStrike" kern="1200" baseline="0">
                <a:solidFill>
                  <a:srgbClr val="595959"/>
                </a:solidFill>
                <a:latin typeface="Times New Roman"/>
                <a:ea typeface="宋体"/>
                <a:cs typeface="Lucida Sans"/>
              </a:defRPr>
            </a:pPr>
          </a:p>
        </c:txPr>
      </c:legendEntry>
      <c:legendEntry>
        <c:idx val="1"/>
        <c:txPr>
          <a:bodyPr rot="0" spcFirstLastPara="0" vertOverflow="ellipsis" vert="horz" wrap="square" anchor="ctr" anchorCtr="1"/>
          <a:lstStyle/>
          <a:p>
            <a:pPr>
              <a:defRPr lang="zh-CN" sz="1050" b="0" i="0" u="none" strike="noStrike" kern="1200" baseline="0">
                <a:solidFill>
                  <a:srgbClr val="595959"/>
                </a:solidFill>
                <a:latin typeface="Times New Roman"/>
                <a:ea typeface="宋体"/>
                <a:cs typeface="Lucida Sans"/>
              </a:defRPr>
            </a:pPr>
          </a:p>
        </c:txPr>
      </c:legendEntry>
      <c:layout>
        <c:manualLayout>
          <c:xMode val="edge"/>
          <c:yMode val="edge"/>
          <c:x val="0.30502537"/>
          <c:y val="0.060135998"/>
          <c:w val="0.39007005"/>
          <c:h val="0.14492138"/>
        </c:manualLayout>
      </c:layout>
      <c:overlay val="0"/>
      <c:spPr>
        <a:noFill/>
        <a:ln>
          <a:noFill/>
        </a:ln>
      </c:spPr>
      <c:txPr>
        <a:bodyPr rot="0" spcFirstLastPara="0" vertOverflow="ellipsis" vert="horz" wrap="square" anchor="ctr" anchorCtr="1"/>
        <a:lstStyle/>
        <a:p>
          <a:pPr>
            <a:defRPr lang="zh-CN" sz="1050" b="0" i="0" u="none" strike="noStrike" kern="1200" baseline="0">
              <a:solidFill>
                <a:srgbClr val="595959"/>
              </a:solidFill>
              <a:latin typeface="Times New Roman"/>
              <a:ea typeface="宋体"/>
              <a:cs typeface="Lucida Sans"/>
            </a:defRPr>
          </a:pPr>
        </a:p>
      </c:txPr>
    </c:legend>
    <c:plotVisOnly val="1"/>
    <c:dispBlanksAs val="gap"/>
    <c:showDLblsOverMax val="0"/>
    <c:extLst>
      <c:ext uri="{0b15fc19-7d7d-44ad-8c2d-2c3a37ce22c3}">
        <chartProps xmlns="https://web.wps.cn/et/2018/main" chartId="{beab796c-b101-468a-8c7d-659d847b4d70}"/>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147</Pages>
  <Words>52854</Words>
  <Characters>58995</Characters>
  <Lines>7666</Lines>
  <Paragraphs>4747</Paragraphs>
  <TotalTime>59</TotalTime>
  <ScaleCrop>false</ScaleCrop>
  <LinksUpToDate>false</LinksUpToDate>
  <CharactersWithSpaces>59229</CharactersWithSpaces>
  <Application>WPS Office_12.1.2.24730_F1E327BC-269C-435d-A152-05C5408002CA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2020-08-13T01:49:00Z</dcterms:created>
  <dc:creator>曹颖</dc:creator>
  <cp:lastModifiedBy>user</cp:lastModifiedBy>
  <cp:lastPrinted>2026-09-18T16:16:27Z</cp:lastPrinted>
  <dcterms:modified xsi:type="dcterms:W3CDTF">2026-09-18T16:35:48Z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3508A9AB42CB9B464814A96A147FB093_43</vt:lpwstr>
  </property>
  <property fmtid="{D5CDD505-2E9C-101B-9397-08002B2CF9AE}" pid="4" name="KSOTemplateDocerSaveRecord">
    <vt:lpwstr>eyJoZGlkIjoiNTEwZjczMTk5N2RhMDczZjdlZWQzZWEyOTI3ODdiZjIiLCJ1c2VySWQiOiIyMzQ4MDE3OTMifQ==</vt:lpwstr>
  </property>
</Properties>
</file>