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color w:val="000000"/>
          <w:sz w:val="72"/>
          <w:szCs w:val="72"/>
        </w:rPr>
      </w:pPr>
      <w:bookmarkStart w:id="1" w:name="_Toc15396597"/>
      <w:bookmarkStart w:id="2" w:name="_Toc15377425"/>
      <w:bookmarkStart w:id="3" w:name="_Toc15396475"/>
      <w:bookmarkStart w:id="4" w:name="_Toc15378441"/>
      <w:bookmarkStart w:id="5" w:name="_Toc15377193"/>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color w:val="000000"/>
          <w:sz w:val="72"/>
          <w:szCs w:val="72"/>
        </w:rPr>
      </w:pPr>
      <w:bookmarkStart w:id="6" w:name="_Toc15377426"/>
      <w:bookmarkStart w:id="7" w:name="_Toc15396598"/>
      <w:bookmarkStart w:id="8" w:name="_Toc15396476"/>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val="en-US" w:eastAsia="zh-CN"/>
        </w:rPr>
        <w:t>巴中市委宣传部机关</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7"/>
        <w:keepNext w:val="0"/>
        <w:keepLines w:val="0"/>
        <w:pageBreakBefore w:val="0"/>
        <w:widowControl w:val="0"/>
        <w:kinsoku/>
        <w:wordWrap/>
        <w:overflowPunct/>
        <w:topLinePunct w:val="0"/>
        <w:autoSpaceDE/>
        <w:autoSpaceDN/>
        <w:bidi w:val="0"/>
        <w:spacing w:before="0"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公开时间：2021年</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15</w:t>
      </w:r>
      <w:r>
        <w:rPr>
          <w:rFonts w:hint="eastAsia" w:ascii="方正仿宋简体" w:hAnsi="方正仿宋简体" w:eastAsia="方正仿宋简体" w:cs="方正仿宋简体"/>
          <w:sz w:val="32"/>
          <w:szCs w:val="32"/>
        </w:rPr>
        <w:t>日</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方正仿宋简体" w:hAnsi="方正仿宋简体" w:eastAsia="方正仿宋简体" w:cs="方正仿宋简体"/>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第一部分 部门概况</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一、基本职能及主要工作</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二、机构设置</w:t>
      </w:r>
    </w:p>
    <w:p>
      <w:pPr>
        <w:pStyle w:val="7"/>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第二部分度部门决算情况说明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一、收入支出决算总体情况说明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二、收入决算情况说明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三、支出决算情况说明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四、财政拨款收入支出决算总体情况说明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五、一般公共预算财政拨款支出决算情况说明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六、一般公共预算财政拨款基本支出决算情况说明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七、“三公”经费财政拨款支出决算情况说明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八、政府性基金预算支出决算情况说明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 国有资本经营预算支出决算情况说明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Style w:val="12"/>
          <w:rFonts w:hint="eastAsia" w:ascii="方正仿宋简体" w:hAnsi="方正仿宋简体" w:eastAsia="方正仿宋简体" w:cs="方正仿宋简体"/>
          <w:color w:val="000000"/>
          <w:sz w:val="32"/>
          <w:szCs w:val="32"/>
          <w:u w:val="none"/>
        </w:rPr>
        <w:t>十、</w:t>
      </w:r>
      <w:r>
        <w:rPr>
          <w:rFonts w:hint="eastAsia" w:ascii="方正仿宋简体" w:hAnsi="方正仿宋简体" w:eastAsia="方正仿宋简体" w:cs="方正仿宋简体"/>
          <w:sz w:val="32"/>
          <w:szCs w:val="32"/>
        </w:rPr>
        <w:t>其他重要事项的情况说明</w:t>
      </w:r>
      <w:r>
        <w:rPr>
          <w:rFonts w:hint="eastAsia" w:ascii="方正仿宋简体" w:hAnsi="方正仿宋简体" w:eastAsia="方正仿宋简体" w:cs="方正仿宋简体"/>
          <w:sz w:val="32"/>
          <w:szCs w:val="32"/>
        </w:rPr>
        <w:tab/>
      </w:r>
    </w:p>
    <w:p>
      <w:pPr>
        <w:pStyle w:val="7"/>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第三部分 名词解释</w:t>
      </w:r>
    </w:p>
    <w:p>
      <w:pPr>
        <w:pStyle w:val="7"/>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第四部分 附件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附件1</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附件2</w:t>
      </w:r>
    </w:p>
    <w:p>
      <w:pPr>
        <w:pStyle w:val="7"/>
        <w:keepNext w:val="0"/>
        <w:keepLines w:val="0"/>
        <w:pageBreakBefore w:val="0"/>
        <w:widowControl w:val="0"/>
        <w:kinsoku/>
        <w:wordWrap/>
        <w:overflowPunct/>
        <w:topLinePunct w:val="0"/>
        <w:autoSpaceDE/>
        <w:autoSpaceDN/>
        <w:bidi w:val="0"/>
        <w:adjustRightInd w:val="0"/>
        <w:snapToGrid w:val="0"/>
        <w:spacing w:before="0"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第五部分 附表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一、收入支出决算总表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二、收入决算表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四、财政拨款收入支出决算总表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五、财政拨款支出决算明细表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六、一般公共预算财政拨款支出决算表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七、一般公共预算财政拨款支出决算明细表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八、一般公共预算财政拨款基本支出决算表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九、一般公共预算财政拨款项目支出决算表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十、一般公共预算财政拨款“三公”经费支出决算表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十一、政府性基金预算财政拨款收入支出决算表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十二、政府性基金预算财政拨款“三公”经费支出决算表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十三、国有资本经营预算财政拨款收入支出决算表</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十四、国有资本经营预算财政拨款支出决算表</w:t>
      </w:r>
    </w:p>
    <w:p>
      <w:pPr>
        <w:pStyle w:val="3"/>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color w:val="000000"/>
          <w:sz w:val="32"/>
          <w:szCs w:val="32"/>
        </w:rPr>
      </w:pPr>
      <w:bookmarkStart w:id="12" w:name="_Toc15377196"/>
      <w:bookmarkStart w:id="13" w:name="_Toc15396599"/>
      <w:r>
        <w:rPr>
          <w:rFonts w:hint="eastAsia" w:ascii="方正小标宋简体" w:hAnsi="方正小标宋简体" w:eastAsia="方正小标宋简体" w:cs="方正小标宋简体"/>
          <w:b w:val="0"/>
        </w:rPr>
        <w:t xml:space="preserve">第一部分 </w:t>
      </w:r>
      <w:r>
        <w:rPr>
          <w:rStyle w:val="13"/>
          <w:rFonts w:hint="eastAsia" w:ascii="方正小标宋简体" w:hAnsi="方正小标宋简体" w:eastAsia="方正小标宋简体" w:cs="方正小标宋简体"/>
          <w:b w:val="0"/>
          <w:bCs w:val="0"/>
        </w:rPr>
        <w:t>部门概况</w:t>
      </w:r>
      <w:bookmarkEnd w:id="12"/>
      <w:bookmarkEnd w:id="13"/>
    </w:p>
    <w:p>
      <w:pPr>
        <w:pStyle w:val="4"/>
        <w:keepNext/>
        <w:keepLines/>
        <w:pageBreakBefore w:val="0"/>
        <w:widowControl w:val="0"/>
        <w:kinsoku/>
        <w:wordWrap/>
        <w:overflowPunct/>
        <w:topLinePunct w:val="0"/>
        <w:autoSpaceDE/>
        <w:autoSpaceDN/>
        <w:bidi w:val="0"/>
        <w:adjustRightInd/>
        <w:snapToGrid/>
        <w:spacing w:before="0" w:after="0" w:line="580" w:lineRule="atLeast"/>
        <w:ind w:left="0" w:firstLine="640" w:firstLineChars="200"/>
        <w:textAlignment w:val="auto"/>
        <w:rPr>
          <w:rFonts w:hint="eastAsia" w:ascii="黑体" w:hAnsi="黑体" w:eastAsia="黑体" w:cs="黑体"/>
          <w:b w:val="0"/>
          <w:bCs w:val="0"/>
          <w:color w:val="000000"/>
          <w:kern w:val="0"/>
          <w:sz w:val="32"/>
          <w:szCs w:val="32"/>
          <w:lang w:val="en-US" w:eastAsia="zh-CN" w:bidi="ar"/>
        </w:rPr>
      </w:pPr>
      <w:bookmarkStart w:id="14" w:name="_Toc15377197"/>
      <w:bookmarkStart w:id="15" w:name="_Toc15396600"/>
      <w:r>
        <w:rPr>
          <w:rFonts w:hint="eastAsia" w:ascii="黑体" w:hAnsi="黑体" w:eastAsia="黑体" w:cs="黑体"/>
          <w:b w:val="0"/>
          <w:bCs w:val="0"/>
          <w:color w:val="000000"/>
          <w:kern w:val="0"/>
          <w:sz w:val="32"/>
          <w:szCs w:val="32"/>
          <w:lang w:val="en-US" w:eastAsia="zh-CN" w:bidi="ar"/>
        </w:rPr>
        <w:t>一、基本职能及主要工作</w:t>
      </w:r>
      <w:bookmarkEnd w:id="14"/>
      <w:bookmarkEnd w:id="15"/>
    </w:p>
    <w:p>
      <w:pPr>
        <w:pStyle w:val="5"/>
        <w:pageBreakBefore w:val="0"/>
        <w:kinsoku/>
        <w:wordWrap/>
        <w:overflowPunct/>
        <w:topLinePunct w:val="0"/>
        <w:autoSpaceDE/>
        <w:autoSpaceDN/>
        <w:bidi w:val="0"/>
        <w:adjustRightInd w:val="0"/>
        <w:snapToGrid w:val="0"/>
        <w:spacing w:beforeLines="0" w:line="580" w:lineRule="atLeast"/>
        <w:ind w:left="0" w:firstLine="640" w:firstLineChars="200"/>
        <w:textAlignment w:val="auto"/>
        <w:outlineLvl w:val="2"/>
        <w:rPr>
          <w:rFonts w:hint="eastAsia" w:ascii="方正楷体简体" w:hAnsi="方正楷体简体" w:eastAsia="方正楷体简体" w:cs="方正楷体简体"/>
          <w:b w:val="0"/>
          <w:bCs w:val="0"/>
          <w:color w:val="000000"/>
          <w:kern w:val="0"/>
          <w:sz w:val="32"/>
          <w:szCs w:val="32"/>
          <w:lang w:val="en-US" w:eastAsia="zh-CN" w:bidi="ar"/>
        </w:rPr>
      </w:pPr>
      <w:bookmarkStart w:id="16" w:name="_Toc15378445"/>
      <w:bookmarkStart w:id="17" w:name="_Toc15377198"/>
      <w:r>
        <w:rPr>
          <w:rFonts w:hint="eastAsia" w:ascii="方正楷体简体" w:hAnsi="方正楷体简体" w:eastAsia="方正楷体简体" w:cs="方正楷体简体"/>
          <w:b w:val="0"/>
          <w:bCs w:val="0"/>
          <w:color w:val="000000"/>
          <w:kern w:val="0"/>
          <w:sz w:val="32"/>
          <w:szCs w:val="32"/>
          <w:lang w:val="en-US" w:eastAsia="zh-CN" w:bidi="ar"/>
        </w:rPr>
        <w:t>（一）主要职能</w:t>
      </w:r>
      <w:bookmarkEnd w:id="16"/>
      <w:bookmarkEnd w:id="17"/>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eastAsia" w:ascii="方正仿宋简体" w:hAnsi="方正仿宋简体" w:eastAsia="方正仿宋简体" w:cs="方正仿宋简体"/>
          <w:b w:val="0"/>
          <w:bCs w:val="0"/>
          <w:color w:val="000000"/>
          <w:kern w:val="0"/>
          <w:sz w:val="32"/>
          <w:szCs w:val="32"/>
          <w:lang w:val="en-US" w:eastAsia="zh-CN" w:bidi="ar"/>
        </w:rPr>
      </w:pPr>
      <w:bookmarkStart w:id="18" w:name="_Toc15378446"/>
      <w:bookmarkStart w:id="19" w:name="_Toc15377199"/>
      <w:r>
        <w:rPr>
          <w:rFonts w:hint="eastAsia" w:ascii="方正仿宋简体" w:hAnsi="方正仿宋简体" w:eastAsia="方正仿宋简体" w:cs="方正仿宋简体"/>
          <w:b w:val="0"/>
          <w:bCs w:val="0"/>
          <w:color w:val="000000"/>
          <w:kern w:val="0"/>
          <w:sz w:val="32"/>
          <w:szCs w:val="32"/>
          <w:lang w:val="en-US" w:eastAsia="zh-CN" w:bidi="ar"/>
        </w:rPr>
        <w:t xml:space="preserve">中共巴中市委宣传部是市委主管意识形态方面工作的职能 部门，为正县级，列市委工作机关序列。市委网络安全和信息化 委员会办公室设在市委宣传部，加挂市精神文明建设办公室、市 委对外宣传办公室（市政府新闻办公室）、市新闻出版局（市版权局）、市互联网信息办公室牌子。 </w:t>
      </w:r>
    </w:p>
    <w:p>
      <w:pPr>
        <w:keepNext w:val="0"/>
        <w:keepLines w:val="0"/>
        <w:pageBreakBefore w:val="0"/>
        <w:numPr>
          <w:ilvl w:val="0"/>
          <w:numId w:val="1"/>
        </w:numPr>
        <w:kinsoku/>
        <w:wordWrap/>
        <w:overflowPunct/>
        <w:topLinePunct w:val="0"/>
        <w:autoSpaceDE/>
        <w:autoSpaceDN/>
        <w:bidi w:val="0"/>
        <w:adjustRightInd/>
        <w:snapToGrid/>
        <w:spacing w:line="580" w:lineRule="exact"/>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拟订全市宣传思想文化工作重大政策和事业产业发展总体规划，统筹协调推进宣传思想文化领域法治建设，按照市委统一部署，协调宣传思想文化系统各部门（单位）之间的工作。</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统筹协调全市党的意识形态工作，贯彻落实党中央、省委和市委关于意识形态工作的决策部署，组织协调意识形态工作责任制落实和日常监督检查，分析研判意识形态领域情况，配合巡视巡察工作开展专项检查。</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统筹指导协调理论研究、理论学习、理论宣传工作，组织推动理论武装工作，指导推动哲学社会科学工作，实施马克思主义理论研究和建设工程。</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负责规划组织全局性思想政治工作，配合市委组织部做好党员教育工作，会同有关部门研究和改进群众思想教育工作。组织重大先进典型的学习和推广。</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统筹指导协调推动精神文化产品的创作和生产，协调组织中华优秀传统文化传承发展工作，指导协调推动群众文化建设。</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统筹组织协调精神文明建设工作，协调推动精神文明创建、公民思想道德建设和志愿服务工作。</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统筹分析研判和引导社会舆论，指导协调市级新闻单位工作，负责组织协调重大新闻宣传活动和重大突发公共事件应急新闻工作。</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统筹协调对外宣传工作，组织指导重大对外宣传活动和对外文化交流工作。负责联系中央、省和市外新闻单位及驻巴机构，会同有关部门做好境外来访记者采访事务方面的工作。</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负责人权宣传工作的组织协调，会同有关部门组织涉及反邪教等方面的对外宣传和舆论斗争工作。</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协调全市网络安全和信息化工作，组织研究拟订全市网络安全和信息化发展规划和重大政策。宏观指导网络舆情信息有关工作等。负责互联网安全、信息内容监督管理执法。指导和管理互联网违法和不良信息举报工作。</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指导舆情信息工作，组织协调开展舆情信息收集分析研判工作，跟踪了解、研究掌握宣传舆情动态。统筹协调网络意识形态工作，负责指导、督促、检查网络意识形态工作责任制的贯彻落实，组织开展网络意识形态工作专题督查。统筹协调新媒体的建设与管理。</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协调组织开展新闻发布工作，承担市委新闻发布有关组织协调工作，负责市政府新闻发布组织实施工作，指导市委、市政府各部门（单位）和区县新闻发布工作，推动新闻发言人制度建设。拟订我市重大问题宣传口径。</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新闻出版、文化艺术、广播电视、电影和旅游业改革发展研究提出政策性建议，统筹指导推进文化体制改革和文化事业、文化产业及旅游业发展，统筹市属国有文化资产监管工作，组织研究市属国有文化资产监管重大政策，会同有关单位负责相关工作开展。</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负责管理新闻出版行政事务和所涉及的行政审批工作，监督管理出版物内容和质量，监督管理印刷业，管理著作权等。组织指导协调“扫黄打非”工作。负责中央、省和市外新闻媒体驻巴机构的监督管理。负责新闻记者证管理工作。</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15. </w:t>
      </w:r>
      <w:r>
        <w:rPr>
          <w:rFonts w:hint="eastAsia" w:ascii="方正仿宋简体" w:hAnsi="方正仿宋简体" w:eastAsia="方正仿宋简体" w:cs="方正仿宋简体"/>
          <w:sz w:val="32"/>
          <w:szCs w:val="32"/>
        </w:rPr>
        <w:t>负责管理电影行政事务和所涉及的行政审批工作，指导协调和参与重大电影活动和电影对外合作交流等。</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16. </w:t>
      </w:r>
      <w:r>
        <w:rPr>
          <w:rFonts w:hint="eastAsia" w:ascii="方正仿宋简体" w:hAnsi="方正仿宋简体" w:eastAsia="方正仿宋简体" w:cs="方正仿宋简体"/>
          <w:sz w:val="32"/>
          <w:szCs w:val="32"/>
        </w:rPr>
        <w:t>受市委委托，会同市委组织部管理文化旅游、新闻、出版、广播电视、电影、社会科学研究和互联网信息等方面市直宣传思想文化单位的领导干部。对区县党委宣传部部长的任免提出意见。负责有关重要宣传舆论阵地和重要岗位领导干部管理。负责组织开展宣传思想文化战线干部教育培训和人才工作。</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17. </w:t>
      </w:r>
      <w:r>
        <w:rPr>
          <w:rFonts w:hint="eastAsia" w:ascii="方正仿宋简体" w:hAnsi="方正仿宋简体" w:eastAsia="方正仿宋简体" w:cs="方正仿宋简体"/>
          <w:sz w:val="32"/>
          <w:szCs w:val="32"/>
        </w:rPr>
        <w:t>归口领导市文化广播电视和旅游局等宣传思想文化和旅游单位。受市委委托，代管市文联、市作协、市社科联、市政研会、巴中日报社、市广播电视台、巴中市文旅集团、四川省有线广播电视网络股份有限公司巴中分公司、市南龛文化产业园管理委员会等宣传思想文化和旅游单位。</w:t>
      </w:r>
    </w:p>
    <w:p>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18. </w:t>
      </w:r>
      <w:r>
        <w:rPr>
          <w:rFonts w:hint="eastAsia" w:ascii="方正仿宋简体" w:hAnsi="方正仿宋简体" w:eastAsia="方正仿宋简体" w:cs="方正仿宋简体"/>
          <w:sz w:val="32"/>
          <w:szCs w:val="32"/>
        </w:rPr>
        <w:t>承担市委网络安全和信息化委员会、市精神文明建设委员会、市委宣传思想工作领导小组、市“扫黄打非”工作领导小组、市文化体制改革和文化产业发展工作领导小组、市属国有文化资产监督管理委员会等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bCs/>
          <w:color w:val="000000"/>
          <w:sz w:val="32"/>
          <w:szCs w:val="32"/>
        </w:rPr>
      </w:pPr>
      <w:r>
        <w:rPr>
          <w:rFonts w:hint="eastAsia" w:ascii="方正仿宋简体" w:hAnsi="方正仿宋简体" w:eastAsia="方正仿宋简体" w:cs="方正仿宋简体"/>
          <w:sz w:val="32"/>
          <w:szCs w:val="32"/>
          <w:lang w:val="en-US" w:eastAsia="zh-CN"/>
        </w:rPr>
        <w:t xml:space="preserve">19. </w:t>
      </w:r>
      <w:r>
        <w:rPr>
          <w:rFonts w:hint="eastAsia" w:ascii="方正仿宋简体" w:hAnsi="方正仿宋简体" w:eastAsia="方正仿宋简体" w:cs="方正仿宋简体"/>
          <w:sz w:val="32"/>
          <w:szCs w:val="32"/>
        </w:rPr>
        <w:t>完成市委交办的其他任务。</w:t>
      </w:r>
    </w:p>
    <w:p>
      <w:pPr>
        <w:pStyle w:val="5"/>
        <w:pageBreakBefore w:val="0"/>
        <w:kinsoku/>
        <w:wordWrap/>
        <w:overflowPunct/>
        <w:topLinePunct w:val="0"/>
        <w:autoSpaceDE/>
        <w:autoSpaceDN/>
        <w:bidi w:val="0"/>
        <w:adjustRightInd w:val="0"/>
        <w:snapToGrid w:val="0"/>
        <w:spacing w:beforeLines="0" w:line="580" w:lineRule="atLeast"/>
        <w:ind w:left="0" w:firstLine="672" w:firstLineChars="210"/>
        <w:textAlignment w:val="auto"/>
        <w:outlineLvl w:val="2"/>
        <w:rPr>
          <w:rFonts w:hint="eastAsia" w:ascii="方正楷体简体" w:hAnsi="方正楷体简体" w:eastAsia="方正楷体简体" w:cs="方正楷体简体"/>
          <w:bCs/>
          <w:color w:val="000000"/>
          <w:sz w:val="32"/>
          <w:szCs w:val="32"/>
        </w:rPr>
      </w:pPr>
      <w:r>
        <w:rPr>
          <w:rFonts w:hint="eastAsia" w:ascii="方正楷体简体" w:hAnsi="方正楷体简体" w:eastAsia="方正楷体简体" w:cs="方正楷体简体"/>
          <w:bCs/>
          <w:color w:val="000000"/>
          <w:sz w:val="32"/>
          <w:szCs w:val="32"/>
        </w:rPr>
        <w:t>（二）2020年重点工作完成情况</w:t>
      </w:r>
      <w:bookmarkEnd w:id="18"/>
      <w:bookmarkEnd w:id="19"/>
      <w:bookmarkStart w:id="20" w:name="_Toc15396601"/>
      <w:bookmarkStart w:id="21" w:name="_Toc15377200"/>
    </w:p>
    <w:p>
      <w:pPr>
        <w:pStyle w:val="5"/>
        <w:pageBreakBefore w:val="0"/>
        <w:numPr>
          <w:ilvl w:val="0"/>
          <w:numId w:val="2"/>
        </w:numPr>
        <w:kinsoku/>
        <w:wordWrap/>
        <w:overflowPunct/>
        <w:topLinePunct w:val="0"/>
        <w:autoSpaceDE/>
        <w:autoSpaceDN/>
        <w:bidi w:val="0"/>
        <w:adjustRightInd w:val="0"/>
        <w:snapToGrid w:val="0"/>
        <w:spacing w:beforeLines="0" w:line="580" w:lineRule="atLeast"/>
        <w:ind w:left="0" w:leftChars="0" w:firstLine="640" w:firstLineChars="0"/>
        <w:textAlignment w:val="auto"/>
        <w:outlineLvl w:val="2"/>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始终高举旗帜，强化理论武装，持续推动习近平新时代中国特色社会主义思想深入人心</w:t>
      </w:r>
    </w:p>
    <w:p>
      <w:pPr>
        <w:pStyle w:val="5"/>
        <w:pageBreakBefore w:val="0"/>
        <w:numPr>
          <w:ilvl w:val="0"/>
          <w:numId w:val="0"/>
        </w:numPr>
        <w:kinsoku/>
        <w:wordWrap/>
        <w:overflowPunct/>
        <w:topLinePunct w:val="0"/>
        <w:autoSpaceDE/>
        <w:autoSpaceDN/>
        <w:bidi w:val="0"/>
        <w:adjustRightInd w:val="0"/>
        <w:snapToGrid w:val="0"/>
        <w:spacing w:beforeLines="0" w:line="580" w:lineRule="atLeast"/>
        <w:ind w:left="0" w:firstLine="640" w:firstLineChars="200"/>
        <w:textAlignment w:val="auto"/>
        <w:outlineLvl w:val="2"/>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坚持把习近平新时代中国特色社会主义思想贯穿理论学习教育始终，持续推动学习宣传和宣讲阐释往深里走、往心里走、往实里走。理论学习常态长效。以市委理论学习中心组学习为龙头，不断加强党的创新理论宣传贯彻，引导广大干群学以致用、知行合一。出台《关于进一步加强和改进党委（党组）理论学习中心组学习的通知》《区县党委理论学习中心组学习测评细则和市级部门党组（党委）理论学习中心组学习测评细则》等文件3个。邀请5名国内知名专家和领导赴巴作专题辅导，开展集中专题学习研讨9场次，发放辅导读本300余册，带动各地各部门党委（党组）学习研讨4000余场次。一线宣讲入脑入心。市委中心组成员分别带头到分管领域和联系部门开展宣讲70余次，组建市委宣讲分团9个、区县宣讲分团143个，深入行业系统、街道社区、田间地头、农家院户等，通过四讲四赛、乡音小喇叭等群众喜闻乐见的形式，开展对象化、分众化、互动化宣讲1000余场，扎实推动习近平新时代中国特色社会主义思想、党的十九届五中全会和省委、市委全会精神深入基层。学用转化成效明显。市委中心组成员围绕“抢抓西部大开发战略机遇”“十四五规划”等主题开展调研累计达60天以上，每人撰写学习心得、调研报告或理论文章4篇以上，20余篇被《中国改革报》《精神文明报》等媒体刊物刊用，市委书记罗增斌的署名文章《发挥农村基层党组织“主心骨”作用》在《人民日报》刊载。市社科联围绕县域治理与城乡统筹发展、川陕苏区红军文化公园、新冠肺炎疫情防控社会心理调适等10个研究方向、立项课题27个，结项25个。中宣部组织的百城千县万村调研成果展中，以《巴中：五连五同步 迈上幸福奔康路》为题，报道了我市决战脱贫攻坚，决胜全面小康的生动实践。</w:t>
      </w:r>
    </w:p>
    <w:p>
      <w:pPr>
        <w:pStyle w:val="5"/>
        <w:pageBreakBefore w:val="0"/>
        <w:numPr>
          <w:ilvl w:val="0"/>
          <w:numId w:val="2"/>
        </w:numPr>
        <w:kinsoku/>
        <w:wordWrap/>
        <w:overflowPunct/>
        <w:topLinePunct w:val="0"/>
        <w:autoSpaceDE/>
        <w:autoSpaceDN/>
        <w:bidi w:val="0"/>
        <w:adjustRightInd w:val="0"/>
        <w:snapToGrid w:val="0"/>
        <w:spacing w:beforeLines="0" w:line="580" w:lineRule="atLeast"/>
        <w:ind w:left="0" w:leftChars="0" w:firstLine="640" w:firstLineChars="0"/>
        <w:textAlignment w:val="auto"/>
        <w:outlineLvl w:val="2"/>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筑牢底线思维，压紧压实责任，意识形态领域良好发展态势进一步巩固</w:t>
      </w:r>
    </w:p>
    <w:p>
      <w:pPr>
        <w:pStyle w:val="5"/>
        <w:pageBreakBefore w:val="0"/>
        <w:numPr>
          <w:ilvl w:val="0"/>
          <w:numId w:val="0"/>
        </w:numPr>
        <w:kinsoku/>
        <w:wordWrap/>
        <w:overflowPunct/>
        <w:topLinePunct w:val="0"/>
        <w:autoSpaceDE/>
        <w:autoSpaceDN/>
        <w:bidi w:val="0"/>
        <w:adjustRightInd w:val="0"/>
        <w:snapToGrid w:val="0"/>
        <w:spacing w:beforeLines="0" w:line="580" w:lineRule="atLeast"/>
        <w:ind w:left="0" w:firstLine="640" w:firstLineChars="200"/>
        <w:textAlignment w:val="auto"/>
        <w:outlineLvl w:val="2"/>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全面落实意识形态工作责任制，不断加强党对意识形态工作的绝对领导，牢牢掌握意识形态工作的领导权。坚持明责传压。将意识形态工作纳入市委第七轮、第八轮巡察重要内容，严格开展全市意识形态工作专项督查，发现并督促整改问题16个。召开全市新闻舆论工作座谈会，压实意识形态工作主体责任。向省委书面报告宣传思想工作和意识形态工作2次，市委常委会专题研究意识形态工作3次，组织召开集中分析研判会4次，印发工作通报1期，发出工作提示函26份，意识形态责任制工作责任层层压实。从严管控阵地。推动习近平新时代中国特色社会主义思想进课堂进头脑，市委、市政府主要领导深入学校讲思想政治课4次。将意识形态纳入市委党校课程设置重点内容，组织2020年新时代意识形态专题培训班等各类专题培训。精心打造思政“金课”，市五中老师主讲的《社会主义好》被央视报道。加快构建网络综合治理体系，扎实开展网络空间治理，网络意识形态领域可管可控。依法查处非政府组织在我市开展的非法捐赠活动4起、非法宗教活动5起，教育训诫59人。扎实推进“扫黄打非·新风”和“扫黄打非·正道”行动，加大重大案件备案力度，巴中市“2·20”陈某亮利用网络传播淫秽物品牟利案、巴中市“3·13”文某程利用网络传播淫秽物品牟利案2起案件被列为2020年全省“扫黄打非”挂牌督办案件。全力查办“4·10”案件等国、省挂牌督办案件，7人被追究刑事责任。成功创建2020年度省级“扫黄打非”示范网格3个，省级示范网络累计达12个，全市各类阵地安全可控。深化问题整改。对标对表省委巡视反馈的意识形态5个问题，细化实化25条整改措施，建立整改工作台账，每季度跟踪整改情况，以强有力的举措落实全面整改。针对省委宣传部意识形态专项督查反馈的4个问题，第一时间制定整改方案，对涉及整改任务的单位，以“发点球”的方式落实整改任务、规定整改时限，切实推动反馈问题整改。</w:t>
      </w:r>
    </w:p>
    <w:p>
      <w:pPr>
        <w:pStyle w:val="5"/>
        <w:pageBreakBefore w:val="0"/>
        <w:numPr>
          <w:ilvl w:val="0"/>
          <w:numId w:val="2"/>
        </w:numPr>
        <w:kinsoku/>
        <w:wordWrap/>
        <w:overflowPunct/>
        <w:topLinePunct w:val="0"/>
        <w:autoSpaceDE/>
        <w:autoSpaceDN/>
        <w:bidi w:val="0"/>
        <w:adjustRightInd w:val="0"/>
        <w:snapToGrid w:val="0"/>
        <w:spacing w:beforeLines="0" w:line="580" w:lineRule="atLeast"/>
        <w:ind w:left="0" w:leftChars="0" w:firstLine="640" w:firstLineChars="0"/>
        <w:textAlignment w:val="auto"/>
        <w:outlineLvl w:val="2"/>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把准政治方向，突出正面引导，主流新闻舆论声音不断增大增强</w:t>
      </w:r>
    </w:p>
    <w:p>
      <w:pPr>
        <w:pStyle w:val="5"/>
        <w:pageBreakBefore w:val="0"/>
        <w:numPr>
          <w:ilvl w:val="0"/>
          <w:numId w:val="0"/>
        </w:numPr>
        <w:kinsoku/>
        <w:wordWrap/>
        <w:overflowPunct/>
        <w:topLinePunct w:val="0"/>
        <w:autoSpaceDE/>
        <w:autoSpaceDN/>
        <w:bidi w:val="0"/>
        <w:adjustRightInd w:val="0"/>
        <w:snapToGrid w:val="0"/>
        <w:spacing w:beforeLines="0" w:line="580" w:lineRule="atLeast"/>
        <w:ind w:left="0" w:firstLine="640" w:firstLineChars="200"/>
        <w:textAlignment w:val="auto"/>
        <w:outlineLvl w:val="2"/>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围绕新冠肺炎疫情防控、决战脱贫攻坚、强化基层治理、重大项目推进等重大主题开展宣传，凝聚了干群一心、共谋发展的强大合力。防疫宣传有力有效。新冠肺炎疫情防控期间，印发宣传引导方案10个，召开专题新闻发布会12场次，发出《宣传报道提示》48期，在人民网开设《巴中战疫记》，在新华网开设《巴中战疫故事》等专题，中央、省级媒体刊播疫情防控和复工复产复业等稿件3200余篇。组织文艺界创作歌曲《爱在春天里等你》、书法《送瘟神》等各类“抗击新冠疫情”主题文艺作品1000余件，积极主动宣传疫情防控和经济社会发展取得的成绩，有效鼓舞了士气、温暖了人心。对内宣传有声有色。市县一体融媒体中心基本建成，各区县融媒体中心APP成功上线运营并顺利通过省级验收。先后制定《巴中市2020年脱贫攻坚宣传工作实施方案》等7个专项宣传方案，巴中日报社、巴中市广播电视台等市直媒体相继开设“鏖战·重大项目推进年”和“全力推动重大项目加快建设”等专题专栏，陆续推出《汉巴南铁路！一条来之不易的铁路 铸就重大项目“巴中速度”》《大河起雄坝 高峡出平湖——黄石盘水库土建主体工程力争年底基本完工》《追梦 我们活在你们的事业里——川陕革命根据地红军烈士陵园整体提升工程探访》等深度稿件100余篇（条），社会反响强烈。对外宣传出新出彩。积极对接人民日报社、新华社、四川日报社等主流媒体先后30余次赴巴实地采访报道，推出《做好“红”“绿”两篇文章 革命老区变了模样》《四川巴中产业扶贫促增收|迈开大步奔小康》《振兴革命老区 | 大开大阖 巴中干出“加速度”》等深度精品稿件。做好第八届巴人文化艺术节、第十八届光雾山红叶节等重大节庆活动的全媒体宣传，开展“巴人巴风”巴中传统文化海外云传播活动，邀请20余家海外媒体聚焦巴中，有效传播了巴中声音，英、日、韩等多语种稿件宣传报道巴中100余篇（条）。全年在中央主流媒体刊载（播）稿件1200余篇（条），其中《人民日报》36条、《光明日报》18条、中央电视台113条（新闻联播8条），巴中知名度和美誉度极大提升。舆论引导精准有力。组建全市“三级三层”网络评论队伍，开展相关业务培训400余人次，开展热点敏感话题舆论引导70余批次，妥善应对处置重大舆情事件10余起，为加快建设川陕革命老区振兴发展示范区营造了良好的舆论环境。深入落实《互联网信息内容生态治理规定》，全年监测各类涉巴舆情信息15余万条，转交、指导、督办1400余条，核实不实信息320余条，发布辟谣信息50余条，行政处罚11人。政务微信“美丽巴中”、政务微博“巴中发布”连续8年荣获“全省十佳市州政务新媒体”称号。</w:t>
      </w:r>
    </w:p>
    <w:p>
      <w:pPr>
        <w:pStyle w:val="5"/>
        <w:pageBreakBefore w:val="0"/>
        <w:numPr>
          <w:ilvl w:val="0"/>
          <w:numId w:val="2"/>
        </w:numPr>
        <w:kinsoku/>
        <w:wordWrap/>
        <w:overflowPunct/>
        <w:topLinePunct w:val="0"/>
        <w:autoSpaceDE/>
        <w:autoSpaceDN/>
        <w:bidi w:val="0"/>
        <w:adjustRightInd w:val="0"/>
        <w:snapToGrid w:val="0"/>
        <w:spacing w:beforeLines="0" w:line="580" w:lineRule="atLeast"/>
        <w:ind w:left="0" w:leftChars="0" w:firstLine="640" w:firstLineChars="0"/>
        <w:textAlignment w:val="auto"/>
        <w:outlineLvl w:val="2"/>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抓实思想教育，培育文明新风，社会主义核心价值观日益成为思想共识和行动自觉</w:t>
      </w:r>
    </w:p>
    <w:p>
      <w:pPr>
        <w:pStyle w:val="5"/>
        <w:pageBreakBefore w:val="0"/>
        <w:numPr>
          <w:ilvl w:val="0"/>
          <w:numId w:val="0"/>
        </w:numPr>
        <w:kinsoku/>
        <w:wordWrap/>
        <w:overflowPunct/>
        <w:topLinePunct w:val="0"/>
        <w:autoSpaceDE/>
        <w:autoSpaceDN/>
        <w:bidi w:val="0"/>
        <w:adjustRightInd w:val="0"/>
        <w:snapToGrid w:val="0"/>
        <w:spacing w:beforeLines="0" w:line="580" w:lineRule="atLeast"/>
        <w:ind w:left="0" w:firstLine="640" w:firstLineChars="200"/>
        <w:textAlignment w:val="auto"/>
        <w:outlineLvl w:val="2"/>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大力培育和践行社会主义核心价值观，不断加强党员、干部和群众的理想信念教育，深入开展中国特色社会主义和中国梦宣传教育，市民文明素养不断提升。主题宣传教育内涵丰富。常态推进社会主义核心价值观“六进”，扎实开展形势政策教育和基本国情教育，深入宣传党史、新中国史、改革开放史、社会主义发展史，广大干群的爱国热情持续提升。加强人文关怀和心理疏导，着力塑造自尊自信、理性平和、亲善友爱的社会心态。以“一约四会”为抓手，倡导移风易俗，培育尚节俭、重科学、崇美德的文明新风。推出“我们的节日”“文明祭祀 平安清明”和文明礼仪知识“七进”等活动160余场次，爱国爱家、相亲相爱、向上向善的氛围更加浓厚。持续开展先进典型推荐评选活动，汪其德等3人被表彰为全国劳动模范，张育贤等6人被省委宣传部列入脱贫攻坚先进典型宣传。精神文明建设亮点纷呈。构建传统方式和现代技术有机融合、相互补充的立体宣传格局，组织开展丰富多彩的群众性创建活动及主题宣传活动，用好用活各类屏、网、栏、板平台，深入推进精神文明建设，崇德向善的价值理念深入人心。成功推荐四川好人5名，表彰巴中好人48名、新时代好少年10人，评选诚信巴中人10人，评选“最美家庭”23户。指导各区县开展身边好人评选，推荐评选好婆婆、好媳妇等3000余名，开展道德模范、身边好人、家风家训巡演200余场次。道德银行在全市遍地开花，进一步彰显了好人好报、德者有得的时代新风。成立巴中市志愿服务联合会，积极开展新时代文明实践中心试点，全市注册志愿者突破50万人，开展活动2.6万场次，服务时长超300万小时。开展“倡导勤俭节约·反对餐饮浪费”等文明实践活动近20场次，向市民发放《巴中市文明行为促进条例》《市民文明手册》5万余册、公筷1万双。文明城市创建纵深推进。认真实施“4085”工程，扎实开展包保联创，建立健全日督查、周通报、月调度机制，全国文明城市创建工作高质量开展。经过连年努力，巴城基础设施逐渐完善，城市管理日益规范，市民素质明显提升，市民幸福感、安全感、获得感明显增强，城市文明程度不断提高，巴中被省文明委推荐为创建第七届全国文明城市提名城市。开展指导、调研60余场次，平昌、南江、通江三县圆满完成省级文明城市复查验收，全年创评全国文明单位3个、文明村镇5个、文明校园1个、文明家庭1户，创建省级最佳文明单位6个、文明单位6个、文明村镇10个、文明校园3所。</w:t>
      </w:r>
    </w:p>
    <w:p>
      <w:pPr>
        <w:pStyle w:val="5"/>
        <w:pageBreakBefore w:val="0"/>
        <w:numPr>
          <w:ilvl w:val="0"/>
          <w:numId w:val="2"/>
        </w:numPr>
        <w:kinsoku/>
        <w:wordWrap/>
        <w:overflowPunct/>
        <w:topLinePunct w:val="0"/>
        <w:autoSpaceDE/>
        <w:autoSpaceDN/>
        <w:bidi w:val="0"/>
        <w:adjustRightInd w:val="0"/>
        <w:snapToGrid w:val="0"/>
        <w:spacing w:beforeLines="0" w:line="580" w:lineRule="atLeast"/>
        <w:ind w:left="0" w:leftChars="0" w:firstLine="640" w:firstLineChars="0"/>
        <w:textAlignment w:val="auto"/>
        <w:outlineLvl w:val="2"/>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定文化自信，推进文化繁荣，人民群众文化获得感和幸福感不断增强</w:t>
      </w:r>
    </w:p>
    <w:p>
      <w:pPr>
        <w:pStyle w:val="5"/>
        <w:pageBreakBefore w:val="0"/>
        <w:numPr>
          <w:ilvl w:val="0"/>
          <w:numId w:val="0"/>
        </w:numPr>
        <w:kinsoku/>
        <w:wordWrap/>
        <w:overflowPunct/>
        <w:topLinePunct w:val="0"/>
        <w:autoSpaceDE/>
        <w:autoSpaceDN/>
        <w:bidi w:val="0"/>
        <w:adjustRightInd w:val="0"/>
        <w:snapToGrid w:val="0"/>
        <w:spacing w:beforeLines="0" w:line="580" w:lineRule="atLeast"/>
        <w:ind w:left="0" w:firstLine="640" w:firstLineChars="200"/>
        <w:textAlignment w:val="auto"/>
        <w:outlineLvl w:val="2"/>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擦亮“巴文化中心、川陕苏区首府、晏阳初故里”三张文化品牌，推进优秀传统文化创造性转化、创新性发展，坚定不移贯彻落实文化强市战略。公共文化服务提质增效。深入开展千村文化扶贫行动，扎实推进文化扶贫扶志和乡村文化振兴，全市747个村综合文化服务中心已按照“七个一”标准规范建设并通过国家脱贫验收。新建完成村综合文化服务中心（文化院坝）168个，贫困村文化室提升699个，县级广播电视播出机构制播能力建设2个，贫困村阅报栏53个，乡村学校少年宫11个，农村公益电影放映26700余场次，农家书屋补充更新2363个，巴州区大和乡岗石村等8个村被命名为“四川省2020年文化扶贫示范村”，《恩阳区发展巴山民宿集群，做活乡村文旅产业》等3个案例被评为四川省文化和旅游扶贫典型案例。文艺精品百花齐放。《永远的巴山红叶》连环画入选中国原创动漫出版扶持计划优秀作品。高质量完成《四川脱贫攻坚书系（巴中卷）》编纂工作。深入推进“六个一”文艺精品打造，制定《巴中市主题文艺精品创作生产推进工作方案》，新创作歌曲《爱在春天里等你》、曲艺金钱板《众志成城战疫情》等各类主题文艺作品1000余件（篇）。成功举办第八届巴人文化艺术节，推出大型民俗歌舞《巴河春秋》等文艺作品，《义无反顾》获得2020年四川省乡村文化艺术节曲艺类第一名，《幸福花开又一年》获曲艺类第三名、最佳人气奖，《审》获得戏剧类第三名，川剧《红军菩萨》荣获第五届中小学川剧传习及展演活动一等奖。歌曲《追梦》在“2020第三届中国非遗春晚”播出，歌舞《追梦》《摘枇杷》《村史馆夜话》等入选新时代曲艺星火扶贫工程成果巡礼展演节目，赴京开展“巴山欢歌”专场演出。市文联、市作协扎实推进“深扎”主题实践活动和文学扶贫“万千百十”活动深入开展，组织30名骨干作家创作主题作品近50篇（首），诗集《裂变》获得全省文学扶贫“万千百十”文学项目扶持，报告文学《村上一棵树》被评为“四川省2019年度十佳版权登记作品”。文旅产业蓬勃发展。积极应对新冠疫情挑战，扎实开展调研和问卷调查，充分运用各类扶持政策措施，支持文化产业企业复工复产。推动文化旅游产业夯实基础、提升品质、丰富业态，积极推进黄石国际度假区、光雾和谷等重点文旅项目建设，全市规模以上文化产业企业达88家。主动协助市文旅集团、寻梦光雾山夜游项目、通江县诺水河楼子九大院民俗改造提升项目共争取2020年省文化产业发展专项补助资金530万元，申报争取各类电影补助资金60.56万元。巴中市县区融媒体升级改造项目、巴州剧院修缮工程等4个项目入选四川省文化产业发展项目库2020年度入库。与重庆市江北区签订“宣传思想文化工作框架合作协议”，组织开展“巴中有礼”第二届文化旅游创意商品大赛，特色化、精品化打造“巴山民宿”，做大做强区域旅游公用品牌。南江县、通江县分别获评“天府旅游名县”命名县、候选县。四川省巴中市光雾山旅游景区成功创建国家5A级旅游景区，全市文旅产业发展不断提质增速。</w:t>
      </w:r>
    </w:p>
    <w:p>
      <w:pPr>
        <w:pStyle w:val="5"/>
        <w:pageBreakBefore w:val="0"/>
        <w:numPr>
          <w:ilvl w:val="0"/>
          <w:numId w:val="2"/>
        </w:numPr>
        <w:kinsoku/>
        <w:wordWrap/>
        <w:overflowPunct/>
        <w:topLinePunct w:val="0"/>
        <w:autoSpaceDE/>
        <w:autoSpaceDN/>
        <w:bidi w:val="0"/>
        <w:adjustRightInd w:val="0"/>
        <w:snapToGrid w:val="0"/>
        <w:spacing w:beforeLines="0" w:line="580" w:lineRule="atLeast"/>
        <w:ind w:left="0" w:leftChars="0" w:firstLine="640" w:firstLineChars="0"/>
        <w:textAlignment w:val="auto"/>
        <w:outlineLvl w:val="2"/>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坚持党的领导，加强队伍建设，严管厚爱锤炼对党绝对忠诚的宣传铁军</w:t>
      </w:r>
    </w:p>
    <w:p>
      <w:pPr>
        <w:pStyle w:val="5"/>
        <w:pageBreakBefore w:val="0"/>
        <w:numPr>
          <w:ilvl w:val="0"/>
          <w:numId w:val="0"/>
        </w:numPr>
        <w:kinsoku/>
        <w:wordWrap/>
        <w:overflowPunct/>
        <w:topLinePunct w:val="0"/>
        <w:autoSpaceDE/>
        <w:autoSpaceDN/>
        <w:bidi w:val="0"/>
        <w:adjustRightInd w:val="0"/>
        <w:snapToGrid w:val="0"/>
        <w:spacing w:beforeLines="0" w:line="580" w:lineRule="atLeast"/>
        <w:ind w:left="0" w:firstLine="640" w:firstLineChars="200"/>
        <w:textAlignment w:val="auto"/>
        <w:outlineLvl w:val="2"/>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以开展“四力”教育为契机，全面推进从严管党治党，全市宣传思想工作队伍政治过硬、本领高强、求实创新、能打胜仗。理论素质不断提升。围绕学习贯彻习近平新时代中国特色社会主义思想主题主线，深化推动“不忘初心、牢记使命”主题教育，持续加强思想政治理论学习，筹办理论学习中心组学习6期，完成领导班子及县处级领导上讲台课题申报，有效促进领导干部学习常态长效。常态组织学习《习近平谈治国理政（第三卷》《民法典》《论党的宣传思想工作》等内容，持续推进宣传干部理论学习日常化。能力素质持续夯实。以打造学习型、创新型和效能型机关为抓手，深入开展领导干部上讲台、讲党课等活动和2020年“巴山优才千人培育工程”市级文化领军人才等评选活动，推荐候选人6名。选派干部参加中央、省委、市委党校，干部院校主体班培训4人次，参加各类专题培训 48人次，开展2020年全市宣传委员培训，为全市宣传思想文化事业蓬勃发展提供人才支撑。市委宣传部机关两名干部分别在全省机关公文写作大赛中获“领导讲话”类三等奖、全市机关公文写作大赛二等奖，市网信中心1名干部获全市抗击新冠肺炎疫情先进个人。组织全市“宣传杯”等知识竞赛，市委宣传部机关参赛队最终获得一等奖。关心关爱干部成长，让有为有位成为主流价值取向，全年提拔重用10人，交流5人，干部精神风貌焕然一新，宣传系统凝聚力不断增强。机关党建全面加强。完成市委宣传部机关党委届中调整和下属4个支部换届选举工作，组织全体党员开展特色主题党日活动6次，培养入党积极分子1名，2名中共预备党员按期转正，基层党组织活力持续保持。制发全市宣传系统《2020年落实全面从严治党主体责任清单》《2020年党风廉政建设和反腐败工作要点》，加强正面引导和反面警示，开展持续整治“四风”问题和坚决制止餐饮浪费行动，扎实抓好市委第一巡察组、驻部纪检监察组巡察督查反馈问题整改，推进宣传思想文化系统全面从严治党向纵深发展。</w:t>
      </w:r>
    </w:p>
    <w:p>
      <w:pPr>
        <w:pStyle w:val="4"/>
        <w:keepNext/>
        <w:keepLines/>
        <w:pageBreakBefore w:val="0"/>
        <w:widowControl w:val="0"/>
        <w:numPr>
          <w:ilvl w:val="0"/>
          <w:numId w:val="3"/>
        </w:numPr>
        <w:kinsoku/>
        <w:wordWrap/>
        <w:overflowPunct/>
        <w:topLinePunct w:val="0"/>
        <w:autoSpaceDE/>
        <w:autoSpaceDN/>
        <w:bidi w:val="0"/>
        <w:adjustRightInd/>
        <w:snapToGrid/>
        <w:spacing w:before="0" w:after="0" w:line="580" w:lineRule="exact"/>
        <w:ind w:left="0" w:firstLine="640" w:firstLineChars="200"/>
        <w:textAlignment w:val="auto"/>
        <w:rPr>
          <w:rStyle w:val="14"/>
          <w:rFonts w:hint="eastAsia" w:ascii="黑体" w:hAnsi="黑体" w:eastAsia="黑体"/>
          <w:b w:val="0"/>
          <w:bCs w:val="0"/>
        </w:rPr>
      </w:pPr>
      <w:r>
        <w:rPr>
          <w:rFonts w:hint="eastAsia" w:ascii="黑体" w:hAnsi="黑体" w:eastAsia="黑体"/>
          <w:b w:val="0"/>
          <w:color w:val="000000"/>
        </w:rPr>
        <w:t>机</w:t>
      </w:r>
      <w:r>
        <w:rPr>
          <w:rStyle w:val="14"/>
          <w:rFonts w:hint="eastAsia" w:ascii="黑体" w:hAnsi="黑体" w:eastAsia="黑体"/>
          <w:b w:val="0"/>
          <w:bCs w:val="0"/>
        </w:rPr>
        <w:t>构设置</w:t>
      </w:r>
      <w:bookmarkEnd w:id="20"/>
      <w:bookmarkEnd w:id="21"/>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80" w:lineRule="exact"/>
        <w:ind w:left="0" w:firstLine="640" w:firstLineChars="200"/>
        <w:textAlignment w:val="auto"/>
        <w:rPr>
          <w:rFonts w:hint="eastAsia" w:ascii="方正小标宋简体" w:hAnsi="方正小标宋简体" w:eastAsia="方正小标宋简体" w:cs="方正小标宋简体"/>
          <w:b w:val="0"/>
          <w:color w:val="000000"/>
        </w:rPr>
      </w:pPr>
      <w:r>
        <w:rPr>
          <w:rFonts w:hint="eastAsia" w:ascii="仿宋" w:hAnsi="仿宋" w:eastAsia="仿宋" w:cs="Times New Roman"/>
          <w:b w:val="0"/>
          <w:bCs w:val="0"/>
          <w:color w:val="000000"/>
          <w:kern w:val="2"/>
          <w:sz w:val="32"/>
          <w:szCs w:val="32"/>
          <w:lang w:val="en-US" w:eastAsia="zh-CN" w:bidi="ar-SA"/>
        </w:rPr>
        <w:t>中共巴中市委宣传部机关设办公室等11个科（处）室，下属二级单位8个，其中行政单位0个，参照公务员法管理的事业单位4个，其他事业单位4个。</w:t>
      </w:r>
      <w:bookmarkStart w:id="22" w:name="_Toc15396602"/>
      <w:bookmarkStart w:id="23" w:name="_Toc15377204"/>
    </w:p>
    <w:p>
      <w:pPr>
        <w:pStyle w:val="3"/>
        <w:pageBreakBefore w:val="0"/>
        <w:widowControl w:val="0"/>
        <w:kinsoku/>
        <w:wordWrap/>
        <w:overflowPunct/>
        <w:topLinePunct w:val="0"/>
        <w:autoSpaceDE/>
        <w:autoSpaceDN/>
        <w:bidi w:val="0"/>
        <w:adjustRightInd/>
        <w:snapToGrid/>
        <w:spacing w:before="0" w:after="0" w:line="580" w:lineRule="exact"/>
        <w:ind w:right="0"/>
        <w:jc w:val="center"/>
        <w:textAlignment w:val="auto"/>
      </w:pPr>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13"/>
          <w:rFonts w:hint="eastAsia" w:ascii="方正小标宋简体" w:hAnsi="方正小标宋简体" w:eastAsia="方正小标宋简体" w:cs="方正小标宋简体"/>
          <w:b w:val="0"/>
          <w:bCs w:val="0"/>
        </w:rPr>
        <w:t>2020年度部门决算情况说明</w:t>
      </w:r>
      <w:bookmarkEnd w:id="22"/>
      <w:bookmarkEnd w:id="23"/>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1"/>
        <w:rPr>
          <w:rStyle w:val="14"/>
          <w:rFonts w:ascii="黑体" w:hAnsi="黑体" w:eastAsia="黑体"/>
          <w:b w:val="0"/>
        </w:rPr>
      </w:pPr>
      <w:bookmarkStart w:id="24" w:name="_Toc15377205"/>
      <w:bookmarkStart w:id="25" w:name="_Toc15396603"/>
      <w:r>
        <w:rPr>
          <w:rFonts w:hint="eastAsia" w:ascii="黑体" w:hAnsi="黑体" w:eastAsia="黑体"/>
          <w:color w:val="000000"/>
          <w:sz w:val="32"/>
          <w:szCs w:val="32"/>
          <w:lang w:val="en-US" w:eastAsia="zh-CN"/>
        </w:rPr>
        <w:t>一、</w:t>
      </w:r>
      <w:r>
        <w:rPr>
          <w:rFonts w:hint="eastAsia" w:ascii="黑体" w:hAnsi="黑体" w:eastAsia="黑体"/>
          <w:color w:val="000000"/>
          <w:sz w:val="32"/>
          <w:szCs w:val="32"/>
        </w:rPr>
        <w:t>收</w:t>
      </w:r>
      <w:r>
        <w:rPr>
          <w:rStyle w:val="14"/>
          <w:rFonts w:hint="eastAsia" w:ascii="黑体" w:hAnsi="黑体" w:eastAsia="黑体"/>
          <w:b w:val="0"/>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年度收、支总计2341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0.7</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一是机构改革后，宣传部职能增加，人员增多；二是脱贫攻坚决战决胜年、全国文明城市创建验收年，宣传思想舆论面临挑战大、事务多，项目增加。</w:t>
      </w: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2019年：收1872.6万元；支1881.6万元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2020年：收1720.9万元；支2054.2万元</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eastAsia="仿宋_GB2312"/>
          <w:color w:val="000000"/>
          <w:sz w:val="32"/>
          <w:szCs w:val="32"/>
          <w:lang w:val="en-US" w:eastAsia="zh-CN"/>
        </w:rPr>
      </w:pPr>
      <w:r>
        <w:drawing>
          <wp:inline distT="0" distB="0" distL="114300" distR="114300">
            <wp:extent cx="3862705" cy="2388235"/>
            <wp:effectExtent l="4445" t="4445" r="1905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1"/>
        <w:rPr>
          <w:rStyle w:val="14"/>
          <w:rFonts w:ascii="黑体" w:hAnsi="黑体" w:eastAsia="黑体"/>
          <w:b w:val="0"/>
        </w:rPr>
      </w:pPr>
      <w:bookmarkStart w:id="26" w:name="_Toc15396604"/>
      <w:bookmarkStart w:id="27" w:name="_Toc15377206"/>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收</w:t>
      </w:r>
      <w:r>
        <w:rPr>
          <w:rStyle w:val="14"/>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1720.9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1720.9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2"/>
        <w:jc w:val="center"/>
        <w:rPr>
          <w:rFonts w:ascii="仿宋_GB2312" w:eastAsia="仿宋_GB2312"/>
          <w:color w:val="FF0000"/>
          <w:sz w:val="32"/>
          <w:szCs w:val="32"/>
        </w:rPr>
      </w:pPr>
      <w:r>
        <w:drawing>
          <wp:inline distT="0" distB="0" distL="114300" distR="114300">
            <wp:extent cx="4028440" cy="2475865"/>
            <wp:effectExtent l="4445" t="4445" r="5715"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Style w:val="14"/>
          <w:rFonts w:ascii="黑体" w:hAnsi="黑体" w:eastAsia="黑体"/>
          <w:b w:val="0"/>
        </w:rPr>
      </w:pPr>
      <w:bookmarkStart w:id="28" w:name="_Toc15396605"/>
      <w:bookmarkStart w:id="29" w:name="_Toc15377207"/>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14"/>
          <w:rFonts w:hint="eastAsia" w:ascii="黑体" w:hAnsi="黑体" w:eastAsia="黑体"/>
          <w:b w:val="0"/>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hint="eastAsia"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2054.2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686.5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33.4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1367.7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66.6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r>
        <w:drawing>
          <wp:inline distT="0" distB="0" distL="114300" distR="114300">
            <wp:extent cx="3524885" cy="2292350"/>
            <wp:effectExtent l="4445" t="4445" r="13970" b="825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Style w:val="14"/>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4"/>
          <w:rFonts w:hint="eastAsia" w:ascii="黑体" w:hAnsi="黑体" w:eastAsia="黑体"/>
          <w:b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 w:hAnsi="仿宋" w:eastAsia="仿宋"/>
          <w:b/>
          <w:color w:val="00B05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2341.7</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0.7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一是机构改革后，宣传部职能增加，人员增多；二是脱贫攻坚决战决胜年、全国文明城市创建验收年，宣传思想舆论面临挑战大、事务多，项目增加（如：脱贫攻坚专题宣传）。</w:t>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Style w:val="2"/>
        <w:jc w:val="center"/>
        <w:rPr>
          <w:rFonts w:ascii="仿宋" w:hAnsi="仿宋" w:eastAsia="仿宋"/>
          <w:b/>
          <w:color w:val="00B050"/>
          <w:sz w:val="32"/>
          <w:szCs w:val="32"/>
        </w:rPr>
      </w:pPr>
      <w:r>
        <w:drawing>
          <wp:inline distT="0" distB="0" distL="114300" distR="114300">
            <wp:extent cx="3818255" cy="2291715"/>
            <wp:effectExtent l="4445" t="4445" r="6350" b="88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Style w:val="14"/>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4"/>
          <w:rFonts w:hint="eastAsia" w:ascii="黑体" w:hAnsi="黑体" w:eastAsia="黑体"/>
          <w:b w:val="0"/>
        </w:rPr>
        <w:t>般公共预算财政拨款支出决算情况说明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eastAsia" w:ascii="方正楷体简体" w:hAnsi="方正楷体简体" w:eastAsia="方正楷体简体" w:cs="方正楷体简体"/>
          <w:b w:val="0"/>
          <w:bCs/>
          <w:color w:val="000000"/>
          <w:sz w:val="32"/>
          <w:szCs w:val="32"/>
        </w:rPr>
      </w:pPr>
      <w:bookmarkStart w:id="34" w:name="_Toc15377210"/>
      <w:r>
        <w:rPr>
          <w:rFonts w:hint="eastAsia" w:ascii="方正楷体简体" w:hAnsi="方正楷体简体" w:eastAsia="方正楷体简体" w:cs="方正楷体简体"/>
          <w:b w:val="0"/>
          <w:bCs/>
          <w:color w:val="000000"/>
          <w:sz w:val="32"/>
          <w:szCs w:val="32"/>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2054.2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172.6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9.2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一是机构改革后，宣传部职能增加，人员增多；二是脱贫攻坚决战决胜年、全国文明城市创建验收年，宣传思想舆论面临挑战大、事务多，项目增加（如：脱贫攻坚专题宣传）。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Style w:val="2"/>
        <w:keepNext w:val="0"/>
        <w:keepLines w:val="0"/>
        <w:pageBreakBefore w:val="0"/>
        <w:widowControl w:val="0"/>
        <w:kinsoku/>
        <w:wordWrap/>
        <w:overflowPunct/>
        <w:topLinePunct w:val="0"/>
        <w:autoSpaceDE/>
        <w:autoSpaceDN/>
        <w:bidi w:val="0"/>
        <w:adjustRightInd/>
        <w:snapToGrid w:val="0"/>
        <w:jc w:val="center"/>
        <w:textAlignment w:val="auto"/>
        <w:rPr>
          <w:rFonts w:ascii="仿宋" w:hAnsi="仿宋" w:eastAsia="仿宋"/>
          <w:color w:val="000000"/>
          <w:sz w:val="32"/>
          <w:szCs w:val="32"/>
        </w:rPr>
      </w:pPr>
      <w:r>
        <w:drawing>
          <wp:inline distT="0" distB="0" distL="114300" distR="114300">
            <wp:extent cx="3759200" cy="2444750"/>
            <wp:effectExtent l="4445" t="4445" r="8255" b="82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eastAsia" w:ascii="方正楷体简体" w:hAnsi="方正楷体简体" w:eastAsia="方正楷体简体" w:cs="方正楷体简体"/>
          <w:b w:val="0"/>
          <w:bCs/>
          <w:color w:val="000000"/>
          <w:sz w:val="32"/>
          <w:szCs w:val="32"/>
        </w:rPr>
      </w:pPr>
      <w:bookmarkStart w:id="35" w:name="_Toc15377211"/>
      <w:r>
        <w:rPr>
          <w:rFonts w:hint="eastAsia" w:ascii="方正楷体简体" w:hAnsi="方正楷体简体" w:eastAsia="方正楷体简体" w:cs="方正楷体简体"/>
          <w:b w:val="0"/>
          <w:bCs/>
          <w:color w:val="000000"/>
          <w:sz w:val="32"/>
          <w:szCs w:val="32"/>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 w:hAnsi="仿宋" w:eastAsia="仿宋"/>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2054.2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1770.3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86.2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4.4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hint="eastAsia" w:ascii="仿宋" w:hAnsi="仿宋" w:eastAsia="仿宋"/>
          <w:b/>
          <w:bCs/>
          <w:color w:val="000000"/>
          <w:sz w:val="32"/>
          <w:szCs w:val="32"/>
          <w:lang w:val="en-US" w:eastAsia="zh-CN"/>
        </w:rPr>
        <w:t>71</w:t>
      </w:r>
      <w:r>
        <w:rPr>
          <w:rFonts w:hint="eastAsia" w:ascii="仿宋" w:hAnsi="仿宋" w:eastAsia="仿宋"/>
          <w:b/>
          <w:bCs/>
          <w:color w:val="000000"/>
          <w:sz w:val="32"/>
          <w:szCs w:val="32"/>
        </w:rPr>
        <w:t>万元，占</w:t>
      </w:r>
      <w:r>
        <w:rPr>
          <w:rFonts w:hint="eastAsia" w:ascii="仿宋" w:hAnsi="仿宋" w:eastAsia="仿宋"/>
          <w:b/>
          <w:bCs/>
          <w:color w:val="000000"/>
          <w:sz w:val="32"/>
          <w:szCs w:val="32"/>
          <w:lang w:val="en-US" w:eastAsia="zh-CN"/>
        </w:rPr>
        <w:t>3.5</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55.3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35.5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w:t>
      </w:r>
      <w:r>
        <w:rPr>
          <w:rFonts w:hint="eastAsia" w:ascii="仿宋" w:hAnsi="仿宋" w:eastAsia="仿宋"/>
          <w:color w:val="000000"/>
          <w:sz w:val="32"/>
          <w:szCs w:val="32"/>
        </w:rPr>
        <w:t>出</w:t>
      </w:r>
      <w:r>
        <w:rPr>
          <w:rFonts w:hint="eastAsia" w:ascii="仿宋" w:hAnsi="仿宋" w:eastAsia="仿宋"/>
          <w:color w:val="000000"/>
          <w:sz w:val="32"/>
          <w:szCs w:val="32"/>
          <w:lang w:val="en-US" w:eastAsia="zh-CN"/>
        </w:rPr>
        <w:t>60.8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lang w:val="en-US" w:eastAsia="zh-CN"/>
        </w:rPr>
        <w:t>农林水支出</w:t>
      </w:r>
      <w:r>
        <w:rPr>
          <w:rFonts w:hint="eastAsia" w:ascii="仿宋" w:hAnsi="仿宋" w:eastAsia="仿宋"/>
          <w:color w:val="000000"/>
          <w:sz w:val="32"/>
          <w:szCs w:val="32"/>
          <w:lang w:val="en-US" w:eastAsia="zh-CN"/>
        </w:rPr>
        <w:t>57万元，占2.8%</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Style w:val="2"/>
        <w:jc w:val="center"/>
        <w:rPr>
          <w:rFonts w:ascii="仿宋" w:hAnsi="仿宋" w:eastAsia="仿宋"/>
          <w:color w:val="000000"/>
          <w:sz w:val="32"/>
          <w:szCs w:val="32"/>
        </w:rPr>
      </w:pPr>
      <w:r>
        <w:drawing>
          <wp:inline distT="0" distB="0" distL="114300" distR="114300">
            <wp:extent cx="4156075" cy="2207260"/>
            <wp:effectExtent l="4445" t="5080" r="11430"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eastAsia" w:ascii="方正楷体简体" w:hAnsi="方正楷体简体" w:eastAsia="方正楷体简体" w:cs="方正楷体简体"/>
          <w:b w:val="0"/>
          <w:bCs/>
          <w:color w:val="000000"/>
          <w:sz w:val="32"/>
          <w:szCs w:val="32"/>
        </w:rPr>
      </w:pPr>
      <w:bookmarkStart w:id="36" w:name="_Toc15377212"/>
      <w:r>
        <w:rPr>
          <w:rFonts w:hint="eastAsia" w:ascii="方正楷体简体" w:hAnsi="方正楷体简体" w:eastAsia="方正楷体简体" w:cs="方正楷体简体"/>
          <w:b w:val="0"/>
          <w:bCs/>
          <w:color w:val="000000"/>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outlineLvl w:val="2"/>
        <w:rPr>
          <w:rFonts w:ascii="仿宋" w:hAnsi="仿宋" w:eastAsia="仿宋"/>
          <w:color w:val="FF0000"/>
          <w:sz w:val="32"/>
          <w:szCs w:val="32"/>
        </w:rPr>
      </w:pPr>
      <w:bookmarkStart w:id="37" w:name="_Toc15377444"/>
      <w:bookmarkStart w:id="38" w:name="_Toc15378460"/>
      <w:bookmarkStart w:id="39" w:name="_Toc15377213"/>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color w:val="000000"/>
          <w:sz w:val="32"/>
          <w:szCs w:val="32"/>
          <w:lang w:val="en-US" w:eastAsia="zh-CN"/>
        </w:rPr>
        <w:t>2054.2</w:t>
      </w:r>
      <w:r>
        <w:rPr>
          <w:rFonts w:hint="eastAsia" w:ascii="仿宋" w:hAnsi="仿宋" w:eastAsia="仿宋"/>
          <w:b/>
          <w:color w:val="000000"/>
          <w:sz w:val="32"/>
          <w:szCs w:val="32"/>
          <w:lang w:val="en-US" w:eastAsia="zh-CN"/>
        </w:rPr>
        <w:t>万元</w:t>
      </w:r>
      <w:r>
        <w:rPr>
          <w:rFonts w:hint="eastAsia" w:ascii="仿宋" w:hAnsi="仿宋" w:eastAsia="仿宋"/>
          <w:color w:val="000000"/>
          <w:sz w:val="32"/>
          <w:szCs w:val="32"/>
        </w:rPr>
        <w:t>，</w:t>
      </w:r>
      <w:r>
        <w:rPr>
          <w:rStyle w:val="11"/>
          <w:rFonts w:hint="eastAsia" w:ascii="仿宋" w:hAnsi="仿宋" w:eastAsia="仿宋"/>
          <w:bCs/>
          <w:color w:val="000000"/>
          <w:sz w:val="32"/>
          <w:szCs w:val="32"/>
        </w:rPr>
        <w:t>完成预算</w:t>
      </w:r>
      <w:r>
        <w:rPr>
          <w:rStyle w:val="11"/>
          <w:rFonts w:hint="eastAsia" w:ascii="仿宋" w:hAnsi="仿宋" w:eastAsia="仿宋"/>
          <w:bCs/>
          <w:color w:val="000000"/>
          <w:sz w:val="32"/>
          <w:szCs w:val="32"/>
          <w:lang w:val="en-US" w:eastAsia="zh-CN"/>
        </w:rPr>
        <w:t>100</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。其中：</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Style w:val="11"/>
          <w:rFonts w:hint="eastAsia" w:ascii="仿宋" w:hAnsi="仿宋" w:eastAsia="仿宋"/>
          <w:b w:val="0"/>
          <w:bCs/>
          <w:color w:val="000000"/>
          <w:sz w:val="32"/>
          <w:szCs w:val="32"/>
          <w:lang w:eastAsia="zh-CN"/>
        </w:rPr>
      </w:pPr>
      <w:r>
        <w:rPr>
          <w:rStyle w:val="11"/>
          <w:rFonts w:hint="eastAsia" w:ascii="仿宋" w:hAnsi="仿宋" w:eastAsia="仿宋"/>
          <w:bCs/>
          <w:color w:val="000000"/>
          <w:sz w:val="32"/>
          <w:szCs w:val="32"/>
          <w:lang w:val="en-US" w:eastAsia="zh-CN"/>
        </w:rPr>
        <w:t>1.</w:t>
      </w:r>
      <w:r>
        <w:rPr>
          <w:rStyle w:val="11"/>
          <w:rFonts w:hint="eastAsia" w:ascii="仿宋" w:hAnsi="仿宋" w:eastAsia="仿宋"/>
          <w:bCs/>
          <w:color w:val="000000"/>
          <w:sz w:val="32"/>
          <w:szCs w:val="32"/>
        </w:rPr>
        <w:t>一般公共服务（类）</w:t>
      </w:r>
      <w:r>
        <w:rPr>
          <w:rStyle w:val="11"/>
          <w:rFonts w:hint="eastAsia" w:ascii="仿宋" w:hAnsi="仿宋" w:eastAsia="仿宋"/>
          <w:bCs/>
          <w:color w:val="000000"/>
          <w:sz w:val="32"/>
          <w:szCs w:val="32"/>
          <w:lang w:val="en-US" w:eastAsia="zh-CN"/>
        </w:rPr>
        <w:t>宣传事务</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行政运行</w:t>
      </w:r>
      <w:r>
        <w:rPr>
          <w:rStyle w:val="11"/>
          <w:rFonts w:hint="eastAsia" w:ascii="仿宋" w:hAnsi="仿宋" w:eastAsia="仿宋"/>
          <w:bCs/>
          <w:color w:val="000000"/>
          <w:sz w:val="32"/>
          <w:szCs w:val="32"/>
        </w:rPr>
        <w:t>（项）</w:t>
      </w:r>
      <w:r>
        <w:rPr>
          <w:rStyle w:val="11"/>
          <w:rFonts w:hint="eastAsia" w:ascii="仿宋" w:hAnsi="仿宋" w:eastAsia="仿宋"/>
          <w:b w:val="0"/>
          <w:bCs/>
          <w:color w:val="000000"/>
          <w:sz w:val="32"/>
          <w:szCs w:val="32"/>
        </w:rPr>
        <w:t>:</w:t>
      </w:r>
      <w:r>
        <w:rPr>
          <w:rStyle w:val="11"/>
          <w:rFonts w:hint="eastAsia" w:ascii="仿宋" w:hAnsi="仿宋" w:eastAsia="仿宋"/>
          <w:b w:val="0"/>
          <w:bCs/>
          <w:color w:val="000000"/>
          <w:sz w:val="32"/>
          <w:szCs w:val="32"/>
          <w:lang w:val="en-US" w:eastAsia="zh-CN"/>
        </w:rPr>
        <w:t>支出决算为433.4万元，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100</w:t>
      </w:r>
      <w:r>
        <w:rPr>
          <w:rStyle w:val="11"/>
          <w:rFonts w:hint="eastAsia" w:ascii="仿宋" w:hAnsi="仿宋" w:eastAsia="仿宋"/>
          <w:b w:val="0"/>
          <w:bCs/>
          <w:color w:val="000000"/>
          <w:sz w:val="32"/>
          <w:szCs w:val="32"/>
        </w:rPr>
        <w:t>%</w:t>
      </w:r>
      <w:r>
        <w:rPr>
          <w:rStyle w:val="11"/>
          <w:rFonts w:hint="eastAsia" w:ascii="仿宋" w:hAnsi="仿宋" w:eastAsia="仿宋"/>
          <w:b w:val="0"/>
          <w:bCs/>
          <w:color w:val="000000"/>
          <w:sz w:val="32"/>
          <w:szCs w:val="32"/>
          <w:lang w:val="en-US" w:eastAsia="zh-CN"/>
        </w:rPr>
        <w:t>；</w:t>
      </w:r>
      <w:r>
        <w:rPr>
          <w:rStyle w:val="11"/>
          <w:rFonts w:hint="eastAsia" w:ascii="仿宋" w:hAnsi="仿宋" w:eastAsia="仿宋"/>
          <w:bCs/>
          <w:color w:val="000000"/>
          <w:sz w:val="32"/>
          <w:szCs w:val="32"/>
        </w:rPr>
        <w:t>一般公共服务（类）</w:t>
      </w:r>
      <w:r>
        <w:rPr>
          <w:rStyle w:val="11"/>
          <w:rFonts w:hint="eastAsia" w:ascii="仿宋" w:hAnsi="仿宋" w:eastAsia="仿宋"/>
          <w:bCs/>
          <w:color w:val="000000"/>
          <w:sz w:val="32"/>
          <w:szCs w:val="32"/>
          <w:lang w:val="en-US" w:eastAsia="zh-CN"/>
        </w:rPr>
        <w:t>宣传事务</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一般行政管理事务</w:t>
      </w:r>
      <w:r>
        <w:rPr>
          <w:rStyle w:val="11"/>
          <w:rFonts w:hint="eastAsia" w:ascii="仿宋" w:hAnsi="仿宋" w:eastAsia="仿宋"/>
          <w:bCs/>
          <w:color w:val="000000"/>
          <w:sz w:val="32"/>
          <w:szCs w:val="32"/>
        </w:rPr>
        <w:t>（项）</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963.6</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val="en-US" w:eastAsia="zh-CN"/>
        </w:rPr>
        <w:t>；</w:t>
      </w:r>
      <w:r>
        <w:rPr>
          <w:rStyle w:val="11"/>
          <w:rFonts w:hint="eastAsia" w:ascii="仿宋" w:hAnsi="仿宋" w:eastAsia="仿宋"/>
          <w:bCs/>
          <w:color w:val="000000"/>
          <w:sz w:val="32"/>
          <w:szCs w:val="32"/>
        </w:rPr>
        <w:t>一般公共服务（类）</w:t>
      </w:r>
      <w:r>
        <w:rPr>
          <w:rStyle w:val="11"/>
          <w:rFonts w:hint="eastAsia" w:ascii="仿宋" w:hAnsi="仿宋" w:eastAsia="仿宋"/>
          <w:bCs/>
          <w:color w:val="000000"/>
          <w:sz w:val="32"/>
          <w:szCs w:val="32"/>
          <w:lang w:val="en-US" w:eastAsia="zh-CN"/>
        </w:rPr>
        <w:t>宣传事务</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事业运行</w:t>
      </w:r>
      <w:r>
        <w:rPr>
          <w:rStyle w:val="11"/>
          <w:rFonts w:hint="eastAsia" w:ascii="仿宋" w:hAnsi="仿宋" w:eastAsia="仿宋"/>
          <w:bCs/>
          <w:color w:val="000000"/>
          <w:sz w:val="32"/>
          <w:szCs w:val="32"/>
        </w:rPr>
        <w:t>（项）</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101.5</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val="en-US" w:eastAsia="zh-CN"/>
        </w:rPr>
        <w:t>；</w:t>
      </w:r>
      <w:r>
        <w:rPr>
          <w:rStyle w:val="11"/>
          <w:rFonts w:hint="eastAsia" w:ascii="仿宋" w:hAnsi="仿宋" w:eastAsia="仿宋"/>
          <w:bCs/>
          <w:color w:val="000000"/>
          <w:sz w:val="32"/>
          <w:szCs w:val="32"/>
        </w:rPr>
        <w:t>一般公共服务（类）</w:t>
      </w:r>
      <w:r>
        <w:rPr>
          <w:rStyle w:val="11"/>
          <w:rFonts w:hint="eastAsia" w:ascii="仿宋" w:hAnsi="仿宋" w:eastAsia="仿宋"/>
          <w:bCs/>
          <w:color w:val="000000"/>
          <w:sz w:val="32"/>
          <w:szCs w:val="32"/>
          <w:lang w:val="en-US" w:eastAsia="zh-CN"/>
        </w:rPr>
        <w:t>宣传事务</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其他宣传事务</w:t>
      </w:r>
      <w:r>
        <w:rPr>
          <w:rStyle w:val="11"/>
          <w:rFonts w:hint="eastAsia" w:ascii="仿宋" w:hAnsi="仿宋" w:eastAsia="仿宋"/>
          <w:bCs/>
          <w:color w:val="000000"/>
          <w:sz w:val="32"/>
          <w:szCs w:val="32"/>
        </w:rPr>
        <w:t>（项）</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271.7</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ascii="仿宋" w:hAnsi="仿宋" w:eastAsia="仿宋"/>
          <w:b/>
          <w:color w:val="000000"/>
          <w:sz w:val="32"/>
          <w:szCs w:val="32"/>
        </w:rPr>
      </w:pPr>
      <w:r>
        <w:rPr>
          <w:rStyle w:val="11"/>
          <w:rFonts w:ascii="仿宋" w:hAnsi="仿宋" w:eastAsia="仿宋"/>
          <w:bCs/>
          <w:color w:val="000000"/>
          <w:sz w:val="32"/>
          <w:szCs w:val="32"/>
        </w:rPr>
        <w:t>2.</w:t>
      </w:r>
      <w:r>
        <w:rPr>
          <w:rStyle w:val="11"/>
          <w:rFonts w:hint="eastAsia" w:ascii="仿宋" w:hAnsi="仿宋" w:eastAsia="仿宋"/>
          <w:bCs/>
          <w:color w:val="000000"/>
          <w:sz w:val="32"/>
          <w:szCs w:val="32"/>
        </w:rPr>
        <w:t>教育（类）</w:t>
      </w:r>
      <w:r>
        <w:rPr>
          <w:rStyle w:val="11"/>
          <w:rFonts w:hint="eastAsia" w:ascii="仿宋" w:hAnsi="仿宋" w:eastAsia="仿宋"/>
          <w:bCs/>
          <w:color w:val="000000"/>
          <w:sz w:val="32"/>
          <w:szCs w:val="32"/>
          <w:lang w:val="en-US" w:eastAsia="zh-CN"/>
        </w:rPr>
        <w:t>进修及培训</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培训</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4.4</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color w:val="000000"/>
          <w:sz w:val="32"/>
          <w:szCs w:val="32"/>
        </w:rPr>
      </w:pPr>
      <w:r>
        <w:rPr>
          <w:rStyle w:val="11"/>
          <w:rFonts w:ascii="仿宋" w:hAnsi="仿宋" w:eastAsia="仿宋"/>
          <w:bCs/>
          <w:color w:val="000000"/>
          <w:sz w:val="32"/>
          <w:szCs w:val="32"/>
        </w:rPr>
        <w:t>3.</w:t>
      </w:r>
      <w:r>
        <w:rPr>
          <w:rStyle w:val="11"/>
          <w:rFonts w:hint="eastAsia" w:ascii="仿宋" w:hAnsi="仿宋" w:eastAsia="仿宋"/>
          <w:bCs/>
          <w:color w:val="000000"/>
          <w:sz w:val="32"/>
          <w:szCs w:val="32"/>
        </w:rPr>
        <w:t>文化旅游体育与传媒（类）</w:t>
      </w:r>
      <w:r>
        <w:rPr>
          <w:rStyle w:val="11"/>
          <w:rFonts w:hint="eastAsia" w:ascii="仿宋" w:hAnsi="仿宋" w:eastAsia="仿宋"/>
          <w:bCs/>
          <w:color w:val="000000"/>
          <w:sz w:val="32"/>
          <w:szCs w:val="32"/>
          <w:lang w:val="en-US" w:eastAsia="zh-CN"/>
        </w:rPr>
        <w:t>其他文化旅游体育与传媒</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宣传文化发展专项</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26</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val="en-US" w:eastAsia="zh-CN"/>
        </w:rPr>
        <w:t>；</w:t>
      </w:r>
      <w:r>
        <w:rPr>
          <w:rStyle w:val="11"/>
          <w:rFonts w:hint="eastAsia" w:ascii="仿宋" w:hAnsi="仿宋" w:eastAsia="仿宋"/>
          <w:bCs/>
          <w:color w:val="000000"/>
          <w:sz w:val="32"/>
          <w:szCs w:val="32"/>
        </w:rPr>
        <w:t>文化旅游体育与传媒（类）</w:t>
      </w:r>
      <w:r>
        <w:rPr>
          <w:rStyle w:val="11"/>
          <w:rFonts w:hint="eastAsia" w:ascii="仿宋" w:hAnsi="仿宋" w:eastAsia="仿宋"/>
          <w:bCs/>
          <w:color w:val="000000"/>
          <w:sz w:val="32"/>
          <w:szCs w:val="32"/>
          <w:lang w:val="en-US" w:eastAsia="zh-CN"/>
        </w:rPr>
        <w:t>其他文化旅游体育与传媒</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文化 产业发展专项</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45</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color w:val="000000"/>
          <w:sz w:val="32"/>
          <w:szCs w:val="32"/>
        </w:rPr>
      </w:pPr>
      <w:r>
        <w:rPr>
          <w:rStyle w:val="11"/>
          <w:rFonts w:hint="eastAsia" w:ascii="仿宋" w:hAnsi="仿宋" w:eastAsia="仿宋"/>
          <w:bCs/>
          <w:color w:val="000000"/>
          <w:sz w:val="32"/>
          <w:szCs w:val="32"/>
          <w:lang w:val="en-US" w:eastAsia="zh-CN"/>
        </w:rPr>
        <w:t>4</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社会保障和就业（类）</w:t>
      </w:r>
      <w:r>
        <w:rPr>
          <w:rStyle w:val="11"/>
          <w:rFonts w:hint="eastAsia" w:ascii="仿宋" w:hAnsi="仿宋" w:eastAsia="仿宋"/>
          <w:bCs/>
          <w:color w:val="000000"/>
          <w:sz w:val="32"/>
          <w:szCs w:val="32"/>
          <w:lang w:val="en-US" w:eastAsia="zh-CN"/>
        </w:rPr>
        <w:t>行政事业单位养老</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行政单位离退休</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Style w:val="11"/>
          <w:rFonts w:hint="eastAsia" w:ascii="仿宋" w:hAnsi="仿宋" w:eastAsia="仿宋"/>
          <w:bCs/>
          <w:color w:val="000000"/>
          <w:sz w:val="32"/>
          <w:szCs w:val="32"/>
        </w:rPr>
        <w:t>社会保障和就业（类）</w:t>
      </w:r>
      <w:r>
        <w:rPr>
          <w:rStyle w:val="11"/>
          <w:rFonts w:hint="eastAsia" w:ascii="仿宋" w:hAnsi="仿宋" w:eastAsia="仿宋"/>
          <w:bCs/>
          <w:color w:val="000000"/>
          <w:sz w:val="32"/>
          <w:szCs w:val="32"/>
          <w:lang w:val="en-US" w:eastAsia="zh-CN"/>
        </w:rPr>
        <w:t>行政事业单位养老</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机关事业单位基本养老保险缴费</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54.3</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color w:val="000000"/>
          <w:sz w:val="32"/>
          <w:szCs w:val="32"/>
        </w:rPr>
      </w:pPr>
      <w:r>
        <w:rPr>
          <w:rStyle w:val="11"/>
          <w:rFonts w:hint="eastAsia" w:ascii="仿宋" w:hAnsi="仿宋" w:eastAsia="仿宋"/>
          <w:bCs/>
          <w:color w:val="000000"/>
          <w:sz w:val="32"/>
          <w:szCs w:val="32"/>
          <w:lang w:val="en-US" w:eastAsia="zh-CN"/>
        </w:rPr>
        <w:t>5</w:t>
      </w:r>
      <w:r>
        <w:rPr>
          <w:rStyle w:val="11"/>
          <w:rFonts w:ascii="仿宋" w:hAnsi="仿宋" w:eastAsia="仿宋"/>
          <w:bCs/>
          <w:color w:val="000000"/>
          <w:sz w:val="32"/>
          <w:szCs w:val="32"/>
        </w:rPr>
        <w:t>.</w:t>
      </w:r>
      <w:r>
        <w:rPr>
          <w:rFonts w:hint="eastAsia" w:ascii="仿宋" w:hAnsi="仿宋" w:eastAsia="仿宋"/>
          <w:b/>
          <w:bCs/>
          <w:color w:val="000000"/>
          <w:sz w:val="32"/>
          <w:szCs w:val="32"/>
        </w:rPr>
        <w:t>卫生健康</w:t>
      </w:r>
      <w:r>
        <w:rPr>
          <w:rStyle w:val="11"/>
          <w:rFonts w:hint="eastAsia" w:ascii="仿宋" w:hAnsi="仿宋" w:eastAsia="仿宋"/>
          <w:bCs/>
          <w:color w:val="000000"/>
          <w:sz w:val="32"/>
          <w:szCs w:val="32"/>
        </w:rPr>
        <w:t>（类</w:t>
      </w:r>
      <w:r>
        <w:rPr>
          <w:rStyle w:val="11"/>
          <w:rFonts w:hint="eastAsia" w:ascii="仿宋" w:hAnsi="仿宋" w:eastAsia="仿宋"/>
          <w:bCs/>
          <w:color w:val="000000"/>
          <w:sz w:val="32"/>
          <w:szCs w:val="32"/>
          <w:lang w:eastAsia="zh-CN"/>
        </w:rPr>
        <w:t>）</w:t>
      </w:r>
      <w:r>
        <w:rPr>
          <w:rStyle w:val="11"/>
          <w:rFonts w:hint="eastAsia" w:ascii="仿宋" w:hAnsi="仿宋" w:eastAsia="仿宋"/>
          <w:bCs/>
          <w:color w:val="000000"/>
          <w:sz w:val="32"/>
          <w:szCs w:val="32"/>
          <w:lang w:val="en-US" w:eastAsia="zh-CN"/>
        </w:rPr>
        <w:t>行政事业单位医疗</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行政单位医疗</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23.6</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val="en-US" w:eastAsia="zh-CN"/>
        </w:rPr>
        <w:t>；</w:t>
      </w:r>
      <w:r>
        <w:rPr>
          <w:rFonts w:hint="eastAsia" w:ascii="仿宋" w:hAnsi="仿宋" w:eastAsia="仿宋"/>
          <w:b/>
          <w:bCs/>
          <w:color w:val="000000"/>
          <w:sz w:val="32"/>
          <w:szCs w:val="32"/>
        </w:rPr>
        <w:t>卫生健康</w:t>
      </w:r>
      <w:r>
        <w:rPr>
          <w:rStyle w:val="11"/>
          <w:rFonts w:hint="eastAsia" w:ascii="仿宋" w:hAnsi="仿宋" w:eastAsia="仿宋"/>
          <w:bCs/>
          <w:color w:val="000000"/>
          <w:sz w:val="32"/>
          <w:szCs w:val="32"/>
        </w:rPr>
        <w:t>（类</w:t>
      </w:r>
      <w:r>
        <w:rPr>
          <w:rStyle w:val="11"/>
          <w:rFonts w:hint="eastAsia" w:ascii="仿宋" w:hAnsi="仿宋" w:eastAsia="仿宋"/>
          <w:bCs/>
          <w:color w:val="000000"/>
          <w:sz w:val="32"/>
          <w:szCs w:val="32"/>
          <w:lang w:eastAsia="zh-CN"/>
        </w:rPr>
        <w:t>）</w:t>
      </w:r>
      <w:r>
        <w:rPr>
          <w:rStyle w:val="11"/>
          <w:rFonts w:hint="eastAsia" w:ascii="仿宋" w:hAnsi="仿宋" w:eastAsia="仿宋"/>
          <w:bCs/>
          <w:color w:val="000000"/>
          <w:sz w:val="32"/>
          <w:szCs w:val="32"/>
          <w:lang w:val="en-US" w:eastAsia="zh-CN"/>
        </w:rPr>
        <w:t>行政事业单位医疗</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事业单位医疗</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6.9</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lang w:val="en-US" w:eastAsia="zh-CN"/>
        </w:rPr>
        <w:t>；</w:t>
      </w:r>
      <w:r>
        <w:rPr>
          <w:rFonts w:hint="eastAsia" w:ascii="仿宋" w:hAnsi="仿宋" w:eastAsia="仿宋"/>
          <w:b/>
          <w:bCs/>
          <w:color w:val="000000"/>
          <w:sz w:val="32"/>
          <w:szCs w:val="32"/>
        </w:rPr>
        <w:t>卫生健康</w:t>
      </w:r>
      <w:r>
        <w:rPr>
          <w:rStyle w:val="11"/>
          <w:rFonts w:hint="eastAsia" w:ascii="仿宋" w:hAnsi="仿宋" w:eastAsia="仿宋"/>
          <w:bCs/>
          <w:color w:val="000000"/>
          <w:sz w:val="32"/>
          <w:szCs w:val="32"/>
        </w:rPr>
        <w:t>（类</w:t>
      </w:r>
      <w:r>
        <w:rPr>
          <w:rStyle w:val="11"/>
          <w:rFonts w:hint="eastAsia" w:ascii="仿宋" w:hAnsi="仿宋" w:eastAsia="仿宋"/>
          <w:bCs/>
          <w:color w:val="000000"/>
          <w:sz w:val="32"/>
          <w:szCs w:val="32"/>
          <w:lang w:eastAsia="zh-CN"/>
        </w:rPr>
        <w:t>）</w:t>
      </w:r>
      <w:r>
        <w:rPr>
          <w:rStyle w:val="11"/>
          <w:rFonts w:hint="eastAsia" w:ascii="仿宋" w:hAnsi="仿宋" w:eastAsia="仿宋"/>
          <w:bCs/>
          <w:color w:val="000000"/>
          <w:sz w:val="32"/>
          <w:szCs w:val="32"/>
          <w:lang w:val="en-US" w:eastAsia="zh-CN"/>
        </w:rPr>
        <w:t>行政事业单位医疗</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val="en-US" w:eastAsia="zh-CN"/>
        </w:rPr>
        <w:t>公务员医疗补助</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5</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color w:val="000000"/>
          <w:sz w:val="32"/>
          <w:szCs w:val="32"/>
        </w:rPr>
      </w:pPr>
      <w:r>
        <w:rPr>
          <w:rStyle w:val="11"/>
          <w:rFonts w:hint="eastAsia" w:ascii="仿宋" w:hAnsi="仿宋" w:eastAsia="仿宋"/>
          <w:bCs/>
          <w:color w:val="000000"/>
          <w:sz w:val="32"/>
          <w:szCs w:val="32"/>
          <w:lang w:val="en-US" w:eastAsia="zh-CN"/>
        </w:rPr>
        <w:t>6.农林水</w:t>
      </w:r>
      <w:r>
        <w:rPr>
          <w:rFonts w:hint="eastAsia" w:ascii="仿宋" w:hAnsi="仿宋" w:eastAsia="仿宋"/>
          <w:b/>
          <w:bCs/>
          <w:color w:val="000000"/>
          <w:sz w:val="32"/>
          <w:szCs w:val="32"/>
          <w:lang w:val="en-US" w:eastAsia="zh-CN"/>
        </w:rPr>
        <w:t>（类）扶贫（款）其他扶贫：</w:t>
      </w:r>
      <w:r>
        <w:rPr>
          <w:rStyle w:val="11"/>
          <w:rFonts w:hint="eastAsia" w:ascii="仿宋" w:hAnsi="仿宋" w:eastAsia="仿宋"/>
          <w:b w:val="0"/>
          <w:bCs/>
          <w:color w:val="000000"/>
          <w:sz w:val="32"/>
          <w:szCs w:val="32"/>
          <w:lang w:val="en-US" w:eastAsia="zh-CN"/>
        </w:rPr>
        <w:t>支出</w:t>
      </w:r>
      <w:r>
        <w:rPr>
          <w:rStyle w:val="11"/>
          <w:rFonts w:hint="eastAsia" w:ascii="仿宋" w:hAnsi="仿宋" w:eastAsia="仿宋"/>
          <w:b w:val="0"/>
          <w:bCs/>
          <w:color w:val="000000"/>
          <w:sz w:val="32"/>
          <w:szCs w:val="32"/>
        </w:rPr>
        <w:t>决算</w:t>
      </w:r>
      <w:r>
        <w:rPr>
          <w:rStyle w:val="11"/>
          <w:rFonts w:hint="eastAsia" w:ascii="仿宋" w:hAnsi="仿宋" w:eastAsia="仿宋"/>
          <w:b w:val="0"/>
          <w:bCs/>
          <w:color w:val="000000"/>
          <w:sz w:val="32"/>
          <w:szCs w:val="32"/>
          <w:lang w:val="en-US" w:eastAsia="zh-CN"/>
        </w:rPr>
        <w:t>为</w:t>
      </w:r>
      <w:r>
        <w:rPr>
          <w:rFonts w:hint="eastAsia" w:ascii="仿宋" w:hAnsi="仿宋" w:eastAsia="仿宋"/>
          <w:color w:val="000000"/>
          <w:sz w:val="32"/>
          <w:szCs w:val="32"/>
          <w:lang w:val="en-US" w:eastAsia="zh-CN"/>
        </w:rPr>
        <w:t>57万元，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Fonts w:hint="eastAsia" w:ascii="仿宋" w:hAnsi="仿宋" w:eastAsia="仿宋"/>
          <w:color w:val="000000"/>
          <w:sz w:val="32"/>
          <w:szCs w:val="32"/>
        </w:rPr>
        <w:t>。</w:t>
      </w:r>
    </w:p>
    <w:p>
      <w:pPr>
        <w:tabs>
          <w:tab w:val="right" w:pos="8306"/>
        </w:tabs>
        <w:spacing w:line="600" w:lineRule="exact"/>
        <w:ind w:firstLine="640"/>
        <w:outlineLvl w:val="1"/>
        <w:rPr>
          <w:rStyle w:val="14"/>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4"/>
          <w:rFonts w:hint="eastAsia" w:ascii="黑体" w:hAnsi="黑体" w:eastAsia="黑体"/>
          <w:b w:val="0"/>
        </w:rPr>
        <w:t>般公共预算财政拨款基本支出决算情况说明</w:t>
      </w:r>
      <w:bookmarkEnd w:id="40"/>
      <w:bookmarkEnd w:id="41"/>
      <w:r>
        <w:rPr>
          <w:rStyle w:val="1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686.5</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541.6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144.9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b/>
          <w:color w:val="FF0000"/>
          <w:sz w:val="32"/>
          <w:szCs w:val="32"/>
        </w:rPr>
        <w:t>（注：数据来源于财决</w:t>
      </w:r>
      <w:r>
        <w:rPr>
          <w:rFonts w:ascii="仿宋" w:hAnsi="仿宋" w:eastAsia="仿宋"/>
          <w:b/>
          <w:color w:val="FF0000"/>
          <w:sz w:val="32"/>
          <w:szCs w:val="32"/>
        </w:rPr>
        <w:t>0</w:t>
      </w:r>
      <w:r>
        <w:rPr>
          <w:rFonts w:hint="eastAsia" w:ascii="仿宋" w:hAnsi="仿宋" w:eastAsia="仿宋"/>
          <w:b/>
          <w:color w:val="FF0000"/>
          <w:sz w:val="32"/>
          <w:szCs w:val="32"/>
          <w:lang w:val="en-US" w:eastAsia="zh-CN"/>
        </w:rPr>
        <w:t>6</w:t>
      </w:r>
      <w:r>
        <w:rPr>
          <w:rFonts w:hint="eastAsia" w:ascii="仿宋" w:hAnsi="仿宋" w:eastAsia="仿宋"/>
          <w:b/>
          <w:color w:val="FF0000"/>
          <w:sz w:val="32"/>
          <w:szCs w:val="32"/>
        </w:rPr>
        <w:t>表，根据本部门实际支出情况罗列全部经济分类科目。）</w:t>
      </w:r>
    </w:p>
    <w:p>
      <w:pPr>
        <w:spacing w:line="600" w:lineRule="exact"/>
        <w:ind w:firstLine="640"/>
        <w:outlineLvl w:val="1"/>
        <w:rPr>
          <w:rStyle w:val="14"/>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42"/>
      <w:bookmarkEnd w:id="43"/>
    </w:p>
    <w:p>
      <w:pPr>
        <w:spacing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44" w:name="_Toc15377216"/>
      <w:r>
        <w:rPr>
          <w:rFonts w:hint="eastAsia" w:ascii="方正楷体简体" w:hAnsi="方正楷体简体" w:eastAsia="方正楷体简体" w:cs="方正楷体简体"/>
          <w:b w:val="0"/>
          <w:bCs/>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24.3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FF0000"/>
          <w:sz w:val="32"/>
          <w:szCs w:val="32"/>
        </w:rPr>
        <w:t>（注：上述“预算”口径为调整预算数，包括政府性基金支出决算情况。）</w:t>
      </w:r>
    </w:p>
    <w:p>
      <w:pPr>
        <w:spacing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45" w:name="_Toc15377217"/>
      <w:r>
        <w:rPr>
          <w:rFonts w:hint="eastAsia" w:ascii="方正楷体简体" w:hAnsi="方正楷体简体" w:eastAsia="方正楷体简体" w:cs="方正楷体简体"/>
          <w:b w:val="0"/>
          <w:bCs/>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62.6</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37.4</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eastAsia="宋体"/>
          <w:b/>
          <w:color w:val="000000"/>
          <w:sz w:val="32"/>
          <w:szCs w:val="32"/>
          <w:lang w:val="en-US" w:eastAsia="zh-CN"/>
        </w:rPr>
      </w:pPr>
      <w:r>
        <w:drawing>
          <wp:inline distT="0" distB="0" distL="114300" distR="114300">
            <wp:extent cx="3742055" cy="2318385"/>
            <wp:effectExtent l="4445" t="4445" r="6350" b="203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lang w:val="en-US" w:eastAsia="zh-CN"/>
        </w:rPr>
        <w:t xml:space="preserve">                  </w:t>
      </w:r>
    </w:p>
    <w:p>
      <w:pPr>
        <w:numPr>
          <w:ilvl w:val="0"/>
          <w:numId w:val="0"/>
        </w:numPr>
        <w:spacing w:line="6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15.2</w:t>
      </w:r>
      <w:r>
        <w:rPr>
          <w:rFonts w:hint="eastAsia" w:ascii="仿宋_GB2312" w:eastAsia="仿宋_GB2312"/>
          <w:color w:val="000000"/>
          <w:sz w:val="32"/>
          <w:szCs w:val="32"/>
        </w:rPr>
        <w:t>万元</w:t>
      </w:r>
      <w:r>
        <w:rPr>
          <w:rFonts w:ascii="仿宋_GB2312" w:eastAsia="仿宋_GB2312"/>
          <w:color w:val="000000"/>
          <w:sz w:val="32"/>
          <w:szCs w:val="32"/>
        </w:rPr>
        <w:t>,</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15.2</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宣传思想文化、全国文明城市创建、精神文明建设、扶贫帮扶等公务活动</w:t>
      </w:r>
      <w:r>
        <w:rPr>
          <w:rFonts w:hint="eastAsia" w:ascii="仿宋_GB2312" w:eastAsia="仿宋_GB2312"/>
          <w:color w:val="000000"/>
          <w:sz w:val="32"/>
          <w:szCs w:val="32"/>
        </w:rPr>
        <w:t>所需的公务用车燃料费、维修费、过路过桥费、保险费等支出。</w:t>
      </w:r>
    </w:p>
    <w:p>
      <w:pPr>
        <w:numPr>
          <w:ilvl w:val="0"/>
          <w:numId w:val="4"/>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9.1</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4"/>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Style w:val="14"/>
          <w:rFonts w:ascii="黑体" w:hAnsi="黑体" w:eastAsia="黑体"/>
        </w:rPr>
      </w:pPr>
      <w:bookmarkStart w:id="46" w:name="_Toc15377218"/>
      <w:bookmarkStart w:id="47" w:name="_Toc15396610"/>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5"/>
        </w:numPr>
        <w:spacing w:line="600" w:lineRule="exact"/>
        <w:ind w:firstLine="640"/>
        <w:outlineLvl w:val="1"/>
        <w:rPr>
          <w:rStyle w:val="14"/>
          <w:rFonts w:ascii="黑体" w:hAnsi="黑体" w:eastAsia="黑体"/>
          <w:b w:val="0"/>
        </w:rPr>
      </w:pPr>
      <w:bookmarkStart w:id="48" w:name="_Toc15396611"/>
      <w:bookmarkStart w:id="49" w:name="_Toc15377219"/>
      <w:r>
        <w:rPr>
          <w:rStyle w:val="14"/>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14"/>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4"/>
          <w:rFonts w:hint="eastAsia" w:ascii="黑体" w:hAnsi="黑体" w:eastAsia="黑体"/>
        </w:rPr>
        <w:t>、</w:t>
      </w:r>
      <w:r>
        <w:rPr>
          <w:rStyle w:val="14"/>
          <w:rFonts w:hint="eastAsia" w:ascii="黑体" w:hAnsi="黑体" w:eastAsia="黑体"/>
          <w:b w:val="0"/>
        </w:rPr>
        <w:t>其他重要事项的情况说明</w:t>
      </w:r>
      <w:bookmarkEnd w:id="50"/>
      <w:bookmarkEnd w:id="51"/>
    </w:p>
    <w:p>
      <w:pPr>
        <w:spacing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52" w:name="_Toc15377222"/>
      <w:r>
        <w:rPr>
          <w:rFonts w:hint="eastAsia" w:ascii="方正楷体简体" w:hAnsi="方正楷体简体" w:eastAsia="方正楷体简体" w:cs="方正楷体简体"/>
          <w:b w:val="0"/>
          <w:bCs/>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中共巴中市委宣传部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144.9</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16.6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13</w:t>
      </w:r>
      <w:bookmarkStart w:id="74" w:name="_GoBack"/>
      <w:bookmarkEnd w:id="74"/>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一是机构改革后，宣传部职能增加，人员增多；二是脱贫攻坚决战决胜年、全国文明城市创建验收年，宣传思想舆论面临挑战大、事务多，项目增加（如：脱贫攻坚专题宣传）</w:t>
      </w:r>
      <w:r>
        <w:rPr>
          <w:rFonts w:hint="eastAsia" w:ascii="仿宋_GB2312" w:eastAsia="仿宋_GB2312"/>
          <w:color w:val="000000"/>
          <w:sz w:val="32"/>
          <w:szCs w:val="32"/>
          <w:lang w:eastAsia="zh-CN"/>
        </w:rPr>
        <w:t>。</w:t>
      </w:r>
    </w:p>
    <w:p>
      <w:pPr>
        <w:spacing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53" w:name="_Toc15377223"/>
      <w:r>
        <w:rPr>
          <w:rFonts w:hint="eastAsia" w:ascii="方正楷体简体" w:hAnsi="方正楷体简体" w:eastAsia="方正楷体简体" w:cs="方正楷体简体"/>
          <w:b w:val="0"/>
          <w:bCs/>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机关政府采购支出总额</w:t>
      </w:r>
      <w:r>
        <w:rPr>
          <w:rFonts w:hint="eastAsia" w:ascii="仿宋_GB2312" w:eastAsia="仿宋_GB2312"/>
          <w:color w:val="000000"/>
          <w:sz w:val="32"/>
          <w:szCs w:val="32"/>
          <w:lang w:val="en-US" w:eastAsia="zh-CN"/>
        </w:rPr>
        <w:t>69.8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69.8</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全国文明城市创建志愿服务和巴中手机报订阅</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outlineLvl w:val="2"/>
        <w:rPr>
          <w:rFonts w:hint="eastAsia" w:ascii="方正楷体简体" w:hAnsi="方正楷体简体" w:eastAsia="方正楷体简体" w:cs="方正楷体简体"/>
          <w:b w:val="0"/>
          <w:bCs/>
          <w:color w:val="000000"/>
          <w:sz w:val="32"/>
          <w:szCs w:val="32"/>
        </w:rPr>
      </w:pPr>
      <w:bookmarkStart w:id="54" w:name="_Toc15377224"/>
      <w:r>
        <w:rPr>
          <w:rFonts w:hint="eastAsia" w:ascii="方正楷体简体" w:hAnsi="方正楷体简体" w:eastAsia="方正楷体简体" w:cs="方正楷体简体"/>
          <w:b w:val="0"/>
          <w:bCs/>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中共巴中市委宣传部</w:t>
      </w:r>
      <w:r>
        <w:rPr>
          <w:rFonts w:hint="eastAsia" w:ascii="仿宋_GB2312" w:eastAsia="仿宋_GB2312"/>
          <w:color w:val="000000"/>
          <w:sz w:val="32"/>
          <w:szCs w:val="32"/>
        </w:rPr>
        <w:t>机关共有车辆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spacing w:line="600" w:lineRule="exact"/>
        <w:ind w:firstLine="640" w:firstLineChars="200"/>
        <w:outlineLvl w:val="2"/>
        <w:rPr>
          <w:rFonts w:hint="eastAsia" w:ascii="方正楷体简体" w:hAnsi="方正楷体简体" w:eastAsia="方正楷体简体" w:cs="方正楷体简体"/>
          <w:b w:val="0"/>
          <w:bCs/>
          <w:color w:val="000000"/>
          <w:sz w:val="32"/>
          <w:szCs w:val="32"/>
        </w:rPr>
      </w:pPr>
      <w:r>
        <w:rPr>
          <w:rFonts w:hint="eastAsia" w:ascii="方正楷体简体" w:hAnsi="方正楷体简体" w:eastAsia="方正楷体简体" w:cs="方正楷体简体"/>
          <w:b w:val="0"/>
          <w:bCs/>
          <w:color w:val="000000"/>
          <w:sz w:val="32"/>
          <w:szCs w:val="32"/>
        </w:rPr>
        <w:t>（四）预算绩效管理情况</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社会主义核心价值观教育、未成年人思想道德建设、外宣工作、手机报运行维护、市委中心组会议、巴文化研究院工作、监督执纪问责专项、扫黄打非工作等项目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2020年，</w:t>
      </w:r>
      <w:r>
        <w:rPr>
          <w:rStyle w:val="11"/>
          <w:rFonts w:hint="eastAsia" w:ascii="方正仿宋简体" w:hAnsi="方正仿宋简体" w:eastAsia="方正仿宋简体" w:cs="方正仿宋简体"/>
          <w:b w:val="0"/>
          <w:bCs/>
          <w:color w:val="000000"/>
          <w:sz w:val="32"/>
          <w:szCs w:val="32"/>
        </w:rPr>
        <w:t>市委宣传部</w:t>
      </w:r>
      <w:r>
        <w:rPr>
          <w:rStyle w:val="11"/>
          <w:rFonts w:hint="eastAsia" w:ascii="方正仿宋简体" w:hAnsi="方正仿宋简体" w:eastAsia="方正仿宋简体" w:cs="方正仿宋简体"/>
          <w:b w:val="0"/>
          <w:bCs/>
          <w:color w:val="000000"/>
          <w:sz w:val="32"/>
          <w:szCs w:val="32"/>
          <w:lang w:val="en-US" w:eastAsia="zh-CN"/>
        </w:rPr>
        <w:t>机关</w:t>
      </w:r>
      <w:r>
        <w:rPr>
          <w:rFonts w:hint="eastAsia" w:ascii="方正仿宋简体" w:hAnsi="方正仿宋简体" w:eastAsia="方正仿宋简体" w:cs="方正仿宋简体"/>
          <w:sz w:val="32"/>
          <w:szCs w:val="32"/>
        </w:rPr>
        <w:t>预算编制科学、绩效目标设置合理、项目立项规范、财政资金支出符合规定，财务管理制度健全，</w:t>
      </w:r>
      <w:r>
        <w:rPr>
          <w:rFonts w:hint="eastAsia" w:ascii="方正仿宋简体" w:hAnsi="方正仿宋简体" w:eastAsia="方正仿宋简体" w:cs="方正仿宋简体"/>
          <w:sz w:val="32"/>
          <w:szCs w:val="32"/>
          <w:lang w:val="en-US" w:eastAsia="zh-CN"/>
        </w:rPr>
        <w:t>项目</w:t>
      </w:r>
      <w:r>
        <w:rPr>
          <w:rFonts w:hint="eastAsia" w:ascii="方正仿宋简体" w:hAnsi="方正仿宋简体" w:eastAsia="方正仿宋简体" w:cs="方正仿宋简体"/>
          <w:sz w:val="32"/>
          <w:szCs w:val="32"/>
        </w:rPr>
        <w:t>执行</w:t>
      </w:r>
      <w:r>
        <w:rPr>
          <w:rFonts w:hint="eastAsia" w:ascii="方正仿宋简体" w:hAnsi="方正仿宋简体" w:eastAsia="方正仿宋简体" w:cs="方正仿宋简体"/>
          <w:sz w:val="32"/>
          <w:szCs w:val="32"/>
          <w:lang w:val="en-US" w:eastAsia="zh-CN"/>
        </w:rPr>
        <w:t>高</w:t>
      </w:r>
      <w:r>
        <w:rPr>
          <w:rFonts w:hint="eastAsia" w:ascii="方正仿宋简体" w:hAnsi="方正仿宋简体" w:eastAsia="方正仿宋简体" w:cs="方正仿宋简体"/>
          <w:sz w:val="32"/>
          <w:szCs w:val="32"/>
        </w:rPr>
        <w:t>效，项目质量可控，取得了预期效果。</w:t>
      </w:r>
      <w:r>
        <w:rPr>
          <w:rStyle w:val="11"/>
          <w:rFonts w:hint="eastAsia" w:ascii="方正仿宋简体" w:hAnsi="方正仿宋简体" w:eastAsia="方正仿宋简体" w:cs="方正仿宋简体"/>
          <w:b w:val="0"/>
          <w:bCs/>
          <w:color w:val="000000"/>
          <w:sz w:val="32"/>
          <w:szCs w:val="32"/>
        </w:rPr>
        <w:t>一年来，执行预算时厉行节约，</w:t>
      </w:r>
      <w:r>
        <w:rPr>
          <w:rFonts w:hint="eastAsia" w:ascii="方正仿宋简体" w:hAnsi="方正仿宋简体" w:eastAsia="方正仿宋简体" w:cs="方正仿宋简体"/>
          <w:sz w:val="32"/>
          <w:szCs w:val="32"/>
        </w:rPr>
        <w:t>各类项目均按目标任务完成，</w:t>
      </w:r>
      <w:r>
        <w:rPr>
          <w:rStyle w:val="11"/>
          <w:rFonts w:hint="eastAsia" w:ascii="方正仿宋简体" w:hAnsi="方正仿宋简体" w:eastAsia="方正仿宋简体" w:cs="方正仿宋简体"/>
          <w:b w:val="0"/>
          <w:bCs/>
          <w:color w:val="000000"/>
          <w:sz w:val="32"/>
          <w:szCs w:val="32"/>
        </w:rPr>
        <w:t>无违纪违规等现象发生</w:t>
      </w:r>
      <w:r>
        <w:rPr>
          <w:rFonts w:hint="eastAsia" w:ascii="仿宋_GB2312" w:hAnsi="仿宋_GB2312" w:eastAsia="仿宋_GB2312" w:cs="仿宋_GB2312"/>
          <w:sz w:val="32"/>
          <w:szCs w:val="32"/>
        </w:rPr>
        <w:t>。本部门还</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外宣工作”</w:t>
      </w:r>
      <w:r>
        <w:rPr>
          <w:rFonts w:hint="eastAsia" w:ascii="仿宋_GB2312" w:hAnsi="仿宋_GB2312" w:eastAsia="仿宋_GB2312" w:cs="仿宋_GB2312"/>
          <w:sz w:val="32"/>
          <w:szCs w:val="32"/>
        </w:rPr>
        <w:t>项目支出绩效评价，从评价情况来看</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zh-CN"/>
        </w:rPr>
        <w:t>该项目资金在对外宣传方面发挥了极大的推动作用，</w:t>
      </w:r>
      <w:r>
        <w:rPr>
          <w:rFonts w:hint="eastAsia" w:eastAsia="仿宋_GB2312" w:cs="Times New Roman"/>
          <w:sz w:val="32"/>
          <w:szCs w:val="32"/>
          <w:lang w:val="en-US" w:eastAsia="zh-CN"/>
        </w:rPr>
        <w:t>全</w:t>
      </w:r>
      <w:r>
        <w:rPr>
          <w:rFonts w:hint="default" w:ascii="Times New Roman" w:hAnsi="Times New Roman" w:eastAsia="仿宋_GB2312" w:cs="Times New Roman"/>
          <w:sz w:val="32"/>
          <w:szCs w:val="32"/>
          <w:lang w:val="zh-CN"/>
        </w:rPr>
        <w:t>年组织刊发</w:t>
      </w:r>
      <w:r>
        <w:rPr>
          <w:rFonts w:hint="eastAsia" w:ascii="Times New Roman" w:hAnsi="Times New Roman" w:eastAsia="仿宋_GB2312" w:cs="Times New Roman"/>
          <w:sz w:val="32"/>
          <w:szCs w:val="32"/>
          <w:lang w:val="en-US" w:eastAsia="zh-CN"/>
        </w:rPr>
        <w:t>省级及以上新闻稿件、</w:t>
      </w:r>
      <w:r>
        <w:rPr>
          <w:rFonts w:hint="default" w:ascii="Times New Roman" w:hAnsi="Times New Roman" w:eastAsia="仿宋_GB2312" w:cs="Times New Roman"/>
          <w:sz w:val="32"/>
          <w:szCs w:val="32"/>
          <w:lang w:val="zh-CN"/>
        </w:rPr>
        <w:t>评论、社论、访谈等300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余</w:t>
      </w:r>
      <w:r>
        <w:rPr>
          <w:rFonts w:hint="eastAsia"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lang w:val="zh-CN"/>
        </w:rPr>
        <w:t>篇，集中轮训通讯员</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zh-CN"/>
        </w:rPr>
        <w:t>0余人</w:t>
      </w:r>
      <w:r>
        <w:rPr>
          <w:rFonts w:hint="eastAsia"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lang w:val="zh-CN"/>
        </w:rPr>
        <w:t>，召开新闻发布会、通气会、见面会近</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zh-CN"/>
        </w:rPr>
        <w:t>场次。</w:t>
      </w:r>
      <w:r>
        <w:rPr>
          <w:rFonts w:hint="eastAsia" w:ascii="Times New Roman" w:hAnsi="Times New Roman" w:eastAsia="仿宋_GB2312" w:cs="Times New Roman"/>
          <w:sz w:val="32"/>
          <w:szCs w:val="32"/>
          <w:lang w:val="en-US" w:eastAsia="zh-CN"/>
        </w:rPr>
        <w:t>深入推动</w:t>
      </w:r>
      <w:r>
        <w:rPr>
          <w:rFonts w:hint="default" w:ascii="Times New Roman" w:hAnsi="Times New Roman" w:eastAsia="仿宋_GB2312" w:cs="Times New Roman"/>
          <w:sz w:val="32"/>
          <w:szCs w:val="32"/>
          <w:lang w:val="zh-CN"/>
        </w:rPr>
        <w:t>川陕甘鄂渝黔豫等7省（自治区、直辖市）21个成员构建</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zh-CN"/>
        </w:rPr>
        <w:t>跨区域新闻宣传合作</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策划开展</w:t>
      </w:r>
      <w:r>
        <w:rPr>
          <w:rFonts w:hint="default" w:ascii="Times New Roman" w:hAnsi="Times New Roman" w:eastAsia="仿宋_GB2312" w:cs="Times New Roman"/>
          <w:sz w:val="32"/>
          <w:szCs w:val="32"/>
          <w:lang w:val="zh-CN"/>
        </w:rPr>
        <w:t>“行走中国.海外华文媒体进巴中”等</w:t>
      </w:r>
      <w:r>
        <w:rPr>
          <w:rFonts w:hint="eastAsia" w:ascii="Times New Roman" w:hAnsi="Times New Roman" w:eastAsia="仿宋_GB2312" w:cs="Times New Roman"/>
          <w:sz w:val="32"/>
          <w:szCs w:val="32"/>
          <w:lang w:val="en-US" w:eastAsia="zh-CN"/>
        </w:rPr>
        <w:t>宣传</w:t>
      </w:r>
      <w:r>
        <w:rPr>
          <w:rFonts w:hint="default" w:ascii="Times New Roman" w:hAnsi="Times New Roman" w:eastAsia="仿宋_GB2312" w:cs="Times New Roman"/>
          <w:sz w:val="32"/>
          <w:szCs w:val="32"/>
          <w:lang w:val="zh-CN"/>
        </w:rPr>
        <w:t>活动，</w:t>
      </w:r>
      <w:r>
        <w:rPr>
          <w:rFonts w:hint="eastAsia" w:eastAsia="仿宋_GB2312" w:cs="Times New Roman"/>
          <w:sz w:val="32"/>
          <w:szCs w:val="32"/>
          <w:lang w:val="en-US" w:eastAsia="zh-CN"/>
        </w:rPr>
        <w:t>进一步</w:t>
      </w:r>
      <w:r>
        <w:rPr>
          <w:rFonts w:hint="default" w:ascii="Times New Roman" w:hAnsi="Times New Roman" w:eastAsia="仿宋_GB2312" w:cs="Times New Roman"/>
          <w:sz w:val="32"/>
          <w:szCs w:val="32"/>
          <w:lang w:val="zh-CN"/>
        </w:rPr>
        <w:t>畅通了与中央电视台、人民日报、四川新闻等权威媒体的合作渠道，让全国观众了解人文巴中、旅游巴中，扩大了巴中的知名度美誉度</w:t>
      </w:r>
      <w:r>
        <w:rPr>
          <w:rFonts w:hint="eastAsia" w:ascii="仿宋_GB2312" w:hAnsi="仿宋_GB2312" w:eastAsia="仿宋_GB2312" w:cs="仿宋_GB2312"/>
          <w:sz w:val="32"/>
          <w:szCs w:val="32"/>
        </w:rPr>
        <w:t>。</w:t>
      </w:r>
    </w:p>
    <w:p>
      <w:pPr>
        <w:spacing w:line="600" w:lineRule="exact"/>
        <w:ind w:firstLine="643" w:firstLineChars="200"/>
        <w:outlineLvl w:val="2"/>
        <w:rPr>
          <w:rFonts w:hint="eastAsia" w:ascii="仿宋" w:hAnsi="仿宋" w:eastAsia="仿宋" w:cs="仿宋"/>
          <w:b/>
          <w:bCs w:val="0"/>
          <w:color w:val="000000"/>
          <w:sz w:val="32"/>
          <w:szCs w:val="32"/>
          <w:lang w:eastAsia="zh-CN"/>
        </w:rPr>
      </w:pPr>
      <w:r>
        <w:rPr>
          <w:rFonts w:hint="eastAsia" w:ascii="仿宋" w:hAnsi="仿宋" w:eastAsia="仿宋" w:cs="仿宋"/>
          <w:b/>
          <w:bCs w:val="0"/>
          <w:color w:val="000000"/>
          <w:sz w:val="32"/>
          <w:szCs w:val="32"/>
        </w:rPr>
        <w:t>1.项目绩效目标完成情况</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社会主义核心价值观教育、未成年人思想道德建设、外宣工作、手机报运行维护、市委中心组会议、巴文化研究院工作、监督执纪问责专项、扫黄打非工作和全国文明城市创建”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个项目绩效目标实际完成情况，选取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个项目进行公开。</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方正楷体简体" w:hAnsi="方正楷体简体" w:eastAsia="方正楷体简体" w:cs="方正楷体简体"/>
          <w:sz w:val="32"/>
          <w:szCs w:val="32"/>
        </w:rPr>
        <w:t>（1）</w:t>
      </w:r>
      <w:r>
        <w:rPr>
          <w:rFonts w:hint="eastAsia" w:ascii="方正楷体简体" w:hAnsi="方正楷体简体" w:eastAsia="方正楷体简体" w:cs="方正楷体简体"/>
          <w:sz w:val="32"/>
          <w:szCs w:val="32"/>
          <w:lang w:val="en-US" w:eastAsia="zh-CN"/>
        </w:rPr>
        <w:t>外宣工作</w:t>
      </w:r>
      <w:r>
        <w:rPr>
          <w:rFonts w:hint="eastAsia" w:ascii="方正楷体简体" w:hAnsi="方正楷体简体" w:eastAsia="方正楷体简体" w:cs="方正楷体简体"/>
          <w:sz w:val="32"/>
          <w:szCs w:val="32"/>
        </w:rPr>
        <w:t>项目绩效目标完成情况综述。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default" w:ascii="Times New Roman" w:hAnsi="Times New Roman" w:eastAsia="仿宋_GB2312" w:cs="Times New Roman"/>
          <w:sz w:val="32"/>
          <w:szCs w:val="32"/>
          <w:lang w:val="zh-CN"/>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zh-CN"/>
        </w:rPr>
        <w:t>年组织刊发</w:t>
      </w:r>
      <w:r>
        <w:rPr>
          <w:rFonts w:hint="eastAsia" w:ascii="Times New Roman" w:hAnsi="Times New Roman" w:eastAsia="仿宋_GB2312" w:cs="Times New Roman"/>
          <w:sz w:val="32"/>
          <w:szCs w:val="32"/>
          <w:lang w:val="en-US" w:eastAsia="zh-CN"/>
        </w:rPr>
        <w:t>省级及以上新闻稿件、</w:t>
      </w:r>
      <w:r>
        <w:rPr>
          <w:rFonts w:hint="default" w:ascii="Times New Roman" w:hAnsi="Times New Roman" w:eastAsia="仿宋_GB2312" w:cs="Times New Roman"/>
          <w:sz w:val="32"/>
          <w:szCs w:val="32"/>
          <w:lang w:val="zh-CN"/>
        </w:rPr>
        <w:t>评论、社论、访谈等300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rPr>
        <w:t>余</w:t>
      </w:r>
      <w:r>
        <w:rPr>
          <w:rFonts w:hint="eastAsia"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lang w:val="zh-CN"/>
        </w:rPr>
        <w:t>篇，集中轮训通讯员</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zh-CN"/>
        </w:rPr>
        <w:t>0余人</w:t>
      </w:r>
      <w:r>
        <w:rPr>
          <w:rFonts w:hint="eastAsia"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lang w:val="zh-CN"/>
        </w:rPr>
        <w:t>，召开新闻发布会、通气会、见面会近</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zh-CN"/>
        </w:rPr>
        <w:t>场次。</w:t>
      </w:r>
      <w:r>
        <w:rPr>
          <w:rFonts w:hint="eastAsia" w:ascii="Times New Roman" w:hAnsi="Times New Roman" w:eastAsia="仿宋_GB2312" w:cs="Times New Roman"/>
          <w:sz w:val="32"/>
          <w:szCs w:val="32"/>
          <w:lang w:val="en-US" w:eastAsia="zh-CN"/>
        </w:rPr>
        <w:t>深入推动</w:t>
      </w:r>
      <w:r>
        <w:rPr>
          <w:rFonts w:hint="default" w:ascii="Times New Roman" w:hAnsi="Times New Roman" w:eastAsia="仿宋_GB2312" w:cs="Times New Roman"/>
          <w:sz w:val="32"/>
          <w:szCs w:val="32"/>
          <w:lang w:val="zh-CN"/>
        </w:rPr>
        <w:t>川陕甘鄂渝黔豫等7省（自治区、直辖市）21个成员构建</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zh-CN"/>
        </w:rPr>
        <w:t>跨区域新闻宣传合作</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策划开展</w:t>
      </w:r>
      <w:r>
        <w:rPr>
          <w:rFonts w:hint="default" w:ascii="Times New Roman" w:hAnsi="Times New Roman" w:eastAsia="仿宋_GB2312" w:cs="Times New Roman"/>
          <w:sz w:val="32"/>
          <w:szCs w:val="32"/>
          <w:lang w:val="zh-CN"/>
        </w:rPr>
        <w:t>“行走中国.海外华文媒体进巴中”等</w:t>
      </w:r>
      <w:r>
        <w:rPr>
          <w:rFonts w:hint="eastAsia" w:ascii="Times New Roman" w:hAnsi="Times New Roman" w:eastAsia="仿宋_GB2312" w:cs="Times New Roman"/>
          <w:sz w:val="32"/>
          <w:szCs w:val="32"/>
          <w:lang w:val="en-US" w:eastAsia="zh-CN"/>
        </w:rPr>
        <w:t>宣传</w:t>
      </w:r>
      <w:r>
        <w:rPr>
          <w:rFonts w:hint="default" w:ascii="Times New Roman" w:hAnsi="Times New Roman" w:eastAsia="仿宋_GB2312" w:cs="Times New Roman"/>
          <w:sz w:val="32"/>
          <w:szCs w:val="32"/>
          <w:lang w:val="zh-CN"/>
        </w:rPr>
        <w:t>活动</w:t>
      </w:r>
      <w:r>
        <w:rPr>
          <w:rFonts w:hint="eastAsia" w:eastAsia="仿宋_GB2312" w:cs="Times New Roman"/>
          <w:sz w:val="32"/>
          <w:szCs w:val="32"/>
          <w:lang w:val="zh-CN"/>
        </w:rPr>
        <w:t>，</w:t>
      </w:r>
      <w:r>
        <w:rPr>
          <w:rFonts w:hint="eastAsia" w:eastAsia="仿宋_GB2312" w:cs="Times New Roman"/>
          <w:sz w:val="32"/>
          <w:szCs w:val="32"/>
          <w:lang w:val="en-US" w:eastAsia="zh-CN"/>
        </w:rPr>
        <w:t>进一步</w:t>
      </w:r>
      <w:r>
        <w:rPr>
          <w:rFonts w:hint="default" w:ascii="Times New Roman" w:hAnsi="Times New Roman" w:eastAsia="仿宋_GB2312" w:cs="Times New Roman"/>
          <w:sz w:val="32"/>
          <w:szCs w:val="32"/>
          <w:lang w:val="zh-CN"/>
        </w:rPr>
        <w:t>畅通了与中央电视台、人民日报、四川新闻等权威媒体的合作渠道，让全国观众了解人文巴中、旅游巴中，扩大了巴中的知名度美誉度。</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外宣工作</w:t>
      </w:r>
      <w:r>
        <w:rPr>
          <w:rFonts w:hint="eastAsia" w:ascii="仿宋_GB2312" w:hAnsi="仿宋_GB2312" w:eastAsia="仿宋_GB2312" w:cs="仿宋_GB2312"/>
          <w:sz w:val="32"/>
          <w:szCs w:val="32"/>
          <w:lang w:val="en-US" w:eastAsia="zh-CN"/>
        </w:rPr>
        <w:t>要求高、</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lang w:eastAsia="zh-CN"/>
        </w:rPr>
        <w:t>，时效性强，</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lang w:eastAsia="zh-CN"/>
        </w:rPr>
        <w:t>资金保障</w:t>
      </w:r>
      <w:r>
        <w:rPr>
          <w:rFonts w:hint="eastAsia" w:ascii="仿宋_GB2312" w:hAnsi="仿宋_GB2312" w:eastAsia="仿宋_GB2312" w:cs="仿宋_GB2312"/>
          <w:sz w:val="32"/>
          <w:szCs w:val="32"/>
          <w:lang w:val="en-US" w:eastAsia="zh-CN"/>
        </w:rPr>
        <w:t>需进一步加强</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加强外宣工作的</w:t>
      </w:r>
      <w:r>
        <w:rPr>
          <w:rFonts w:hint="eastAsia" w:ascii="仿宋_GB2312" w:hAnsi="仿宋_GB2312" w:eastAsia="仿宋_GB2312" w:cs="仿宋_GB2312"/>
          <w:sz w:val="32"/>
          <w:szCs w:val="32"/>
          <w:lang w:val="en-US" w:eastAsia="zh-CN"/>
        </w:rPr>
        <w:t>针对性、</w:t>
      </w:r>
      <w:r>
        <w:rPr>
          <w:rFonts w:hint="eastAsia" w:ascii="仿宋_GB2312" w:hAnsi="仿宋_GB2312" w:eastAsia="仿宋_GB2312" w:cs="仿宋_GB2312"/>
          <w:sz w:val="32"/>
          <w:szCs w:val="32"/>
          <w:lang w:eastAsia="zh-CN"/>
        </w:rPr>
        <w:t>及时性</w:t>
      </w:r>
      <w:r>
        <w:rPr>
          <w:rFonts w:hint="eastAsia" w:ascii="仿宋_GB2312" w:hAnsi="仿宋_GB2312" w:eastAsia="仿宋_GB2312" w:cs="仿宋_GB2312"/>
          <w:sz w:val="32"/>
          <w:szCs w:val="32"/>
          <w:lang w:val="en-US" w:eastAsia="zh-CN"/>
        </w:rPr>
        <w:t>和宣传产品的多元化、高品质</w:t>
      </w:r>
      <w:r>
        <w:rPr>
          <w:rFonts w:hint="eastAsia" w:ascii="仿宋_GB2312" w:hAnsi="仿宋_GB2312" w:eastAsia="仿宋_GB2312" w:cs="仿宋_GB2312"/>
          <w:sz w:val="32"/>
          <w:szCs w:val="32"/>
          <w:lang w:eastAsia="zh-CN"/>
        </w:rPr>
        <w:t>，真正把巴中的</w:t>
      </w:r>
      <w:r>
        <w:rPr>
          <w:rFonts w:hint="eastAsia" w:ascii="仿宋_GB2312" w:hAnsi="仿宋_GB2312" w:eastAsia="仿宋_GB2312" w:cs="仿宋_GB2312"/>
          <w:sz w:val="32"/>
          <w:szCs w:val="32"/>
          <w:lang w:val="en-US" w:eastAsia="zh-CN"/>
        </w:rPr>
        <w:t>工作成效、经验做法和红色资源、绿色旅游及老区人民的奋斗史、获得感、幸福感</w:t>
      </w:r>
      <w:r>
        <w:rPr>
          <w:rFonts w:hint="eastAsia" w:ascii="仿宋_GB2312" w:hAnsi="仿宋_GB2312" w:eastAsia="仿宋_GB2312" w:cs="仿宋_GB2312"/>
          <w:sz w:val="32"/>
          <w:szCs w:val="32"/>
          <w:lang w:eastAsia="zh-CN"/>
        </w:rPr>
        <w:t>传递到全国各地及海内外，不断</w:t>
      </w:r>
      <w:r>
        <w:rPr>
          <w:rFonts w:hint="eastAsia" w:ascii="仿宋_GB2312" w:hAnsi="仿宋_GB2312" w:eastAsia="仿宋_GB2312" w:cs="仿宋_GB2312"/>
          <w:sz w:val="32"/>
          <w:szCs w:val="32"/>
          <w:lang w:val="en-US" w:eastAsia="zh-CN"/>
        </w:rPr>
        <w:t>增加宣传工作实效，不断提升巴中知名度、美誉度和影响力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sz w:val="32"/>
          <w:szCs w:val="32"/>
          <w:lang w:eastAsia="zh-CN"/>
        </w:rPr>
      </w:pPr>
      <w:r>
        <w:rPr>
          <w:rFonts w:hint="eastAsia" w:ascii="方正楷体简体" w:hAnsi="方正楷体简体" w:eastAsia="方正楷体简体" w:cs="方正楷体简体"/>
          <w:sz w:val="32"/>
          <w:szCs w:val="32"/>
        </w:rPr>
        <w:t>（2）</w:t>
      </w:r>
      <w:r>
        <w:rPr>
          <w:rFonts w:hint="eastAsia" w:ascii="方正楷体简体" w:hAnsi="方正楷体简体" w:eastAsia="方正楷体简体" w:cs="方正楷体简体"/>
          <w:sz w:val="32"/>
          <w:szCs w:val="32"/>
          <w:lang w:val="en-US" w:eastAsia="zh-CN"/>
        </w:rPr>
        <w:t>未成年人思想道德建设</w:t>
      </w:r>
      <w:r>
        <w:rPr>
          <w:rFonts w:hint="eastAsia" w:ascii="方正楷体简体" w:hAnsi="方正楷体简体" w:eastAsia="方正楷体简体" w:cs="方正楷体简体"/>
          <w:sz w:val="32"/>
          <w:szCs w:val="32"/>
        </w:rPr>
        <w:t>项目绩效目标完成情况综述。</w:t>
      </w:r>
      <w:r>
        <w:rPr>
          <w:rFonts w:hint="eastAsia" w:ascii="仿宋" w:hAnsi="仿宋" w:eastAsia="仿宋" w:cs="仿宋"/>
          <w:sz w:val="32"/>
          <w:szCs w:val="32"/>
        </w:rPr>
        <w:t>项目全年预算数</w:t>
      </w:r>
      <w:r>
        <w:rPr>
          <w:rFonts w:hint="eastAsia" w:ascii="仿宋" w:hAnsi="仿宋" w:eastAsia="仿宋" w:cs="仿宋"/>
          <w:sz w:val="32"/>
          <w:szCs w:val="32"/>
          <w:lang w:val="en-US" w:eastAsia="zh-CN"/>
        </w:rPr>
        <w:t>40</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40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方正仿宋简体" w:hAnsi="方正仿宋简体" w:eastAsia="方正仿宋简体" w:cs="方正仿宋简体"/>
          <w:b w:val="0"/>
          <w:bCs w:val="0"/>
          <w:kern w:val="2"/>
          <w:sz w:val="32"/>
          <w:szCs w:val="32"/>
          <w:lang w:val="en-US" w:eastAsia="zh-CN" w:bidi="ar-SA"/>
        </w:rPr>
        <w:t>开展道德模范、身边好人、家风家训巡演200余场次，</w:t>
      </w:r>
      <w:r>
        <w:rPr>
          <w:rFonts w:hint="eastAsia" w:ascii="仿宋" w:hAnsi="仿宋" w:eastAsia="仿宋" w:cs="仿宋"/>
          <w:sz w:val="32"/>
          <w:szCs w:val="32"/>
          <w:lang w:eastAsia="zh-CN"/>
        </w:rPr>
        <w:t>开展了“童心向党”“扣好人生第一粒扣子”等主题教育实践活动，</w:t>
      </w:r>
      <w:r>
        <w:rPr>
          <w:rFonts w:hint="eastAsia" w:ascii="仿宋" w:hAnsi="仿宋" w:eastAsia="仿宋" w:cs="仿宋"/>
          <w:color w:val="000000" w:themeColor="text1"/>
          <w:sz w:val="32"/>
          <w:szCs w:val="32"/>
          <w:lang w:eastAsia="zh-CN"/>
          <w14:textFill>
            <w14:solidFill>
              <w14:schemeClr w14:val="tx1"/>
            </w14:solidFill>
          </w14:textFill>
        </w:rPr>
        <w:t>举办</w:t>
      </w:r>
      <w:r>
        <w:rPr>
          <w:rFonts w:hint="eastAsia" w:ascii="仿宋" w:hAnsi="仿宋" w:eastAsia="仿宋" w:cs="仿宋"/>
          <w:bCs/>
          <w:color w:val="000000"/>
          <w:sz w:val="32"/>
          <w:szCs w:val="32"/>
        </w:rPr>
        <w:t>“传承红色基因·争做时代新人</w:t>
      </w:r>
      <w:r>
        <w:rPr>
          <w:rFonts w:hint="eastAsia" w:ascii="仿宋" w:hAnsi="仿宋" w:eastAsia="仿宋" w:cs="仿宋"/>
          <w:bCs/>
          <w:color w:val="000000"/>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主题演讲比赛、“新时代好少年”少年发布仪式，</w:t>
      </w:r>
      <w:r>
        <w:rPr>
          <w:rFonts w:hint="eastAsia" w:ascii="方正仿宋简体" w:hAnsi="方正仿宋简体" w:eastAsia="方正仿宋简体" w:cs="方正仿宋简体"/>
          <w:b w:val="0"/>
          <w:bCs w:val="0"/>
          <w:kern w:val="2"/>
          <w:sz w:val="32"/>
          <w:szCs w:val="32"/>
          <w:lang w:val="en-US" w:eastAsia="zh-CN" w:bidi="ar-SA"/>
        </w:rPr>
        <w:t>表彰新时代好少年10人，创评全国文明校园1个、省级文明校园3所，</w:t>
      </w:r>
      <w:r>
        <w:rPr>
          <w:rFonts w:hint="eastAsia" w:ascii="仿宋" w:hAnsi="仿宋" w:eastAsia="仿宋" w:cs="仿宋"/>
          <w:color w:val="000000" w:themeColor="text1"/>
          <w:sz w:val="32"/>
          <w:szCs w:val="32"/>
          <w:lang w:eastAsia="zh-CN"/>
          <w14:textFill>
            <w14:solidFill>
              <w14:schemeClr w14:val="tx1"/>
            </w14:solidFill>
          </w14:textFill>
        </w:rPr>
        <w:t>在开展“劳动美”</w:t>
      </w:r>
      <w:r>
        <w:rPr>
          <w:rFonts w:hint="eastAsia" w:ascii="仿宋" w:hAnsi="仿宋" w:eastAsia="仿宋" w:cs="仿宋"/>
          <w:sz w:val="32"/>
          <w:szCs w:val="32"/>
        </w:rPr>
        <w:t>实践活动</w:t>
      </w:r>
      <w:r>
        <w:rPr>
          <w:rFonts w:hint="eastAsia" w:ascii="仿宋" w:hAnsi="仿宋" w:eastAsia="仿宋" w:cs="仿宋"/>
          <w:sz w:val="32"/>
          <w:szCs w:val="32"/>
          <w:lang w:eastAsia="zh-CN"/>
        </w:rPr>
        <w:t>中</w:t>
      </w:r>
      <w:r>
        <w:rPr>
          <w:rFonts w:hint="eastAsia" w:ascii="仿宋" w:hAnsi="仿宋" w:eastAsia="仿宋" w:cs="仿宋"/>
          <w:sz w:val="32"/>
          <w:szCs w:val="32"/>
        </w:rPr>
        <w:t>，观音井小学和花丛中学开展插秧和收割麦子劳动实践活动在《中国教育报》2020年5月19日第六版宣传报道。</w:t>
      </w:r>
      <w:r>
        <w:rPr>
          <w:rFonts w:hint="eastAsia" w:ascii="仿宋" w:hAnsi="仿宋" w:eastAsia="仿宋" w:cs="仿宋"/>
          <w:sz w:val="32"/>
          <w:szCs w:val="32"/>
          <w:lang w:eastAsia="zh-CN"/>
        </w:rPr>
        <w:t>丰富多彩的活动，促进了未成年人健康快乐成长，使全市未成年思想道德建设工作更上一个台阶。发现的主要问题：活动形式</w:t>
      </w:r>
      <w:r>
        <w:rPr>
          <w:rFonts w:hint="eastAsia" w:ascii="仿宋" w:hAnsi="仿宋" w:eastAsia="仿宋" w:cs="仿宋"/>
          <w:sz w:val="32"/>
          <w:szCs w:val="32"/>
          <w:lang w:val="en-US" w:eastAsia="zh-CN"/>
        </w:rPr>
        <w:t>较为</w:t>
      </w:r>
      <w:r>
        <w:rPr>
          <w:rFonts w:hint="eastAsia" w:ascii="仿宋" w:hAnsi="仿宋" w:eastAsia="仿宋" w:cs="仿宋"/>
          <w:sz w:val="32"/>
          <w:szCs w:val="32"/>
          <w:lang w:eastAsia="zh-CN"/>
        </w:rPr>
        <w:t>单一，学生参与度不高</w:t>
      </w:r>
      <w:r>
        <w:rPr>
          <w:rFonts w:hint="eastAsia" w:ascii="仿宋" w:hAnsi="仿宋" w:eastAsia="仿宋" w:cs="仿宋"/>
          <w:sz w:val="32"/>
          <w:szCs w:val="32"/>
          <w:lang w:val="en-US" w:eastAsia="zh-CN"/>
        </w:rPr>
        <w:t>特别是部分</w:t>
      </w:r>
      <w:r>
        <w:rPr>
          <w:rFonts w:hint="eastAsia" w:ascii="仿宋" w:hAnsi="仿宋" w:eastAsia="仿宋" w:cs="仿宋"/>
          <w:sz w:val="32"/>
          <w:szCs w:val="32"/>
          <w:lang w:eastAsia="zh-CN"/>
        </w:rPr>
        <w:t>殊学生参与</w:t>
      </w:r>
      <w:r>
        <w:rPr>
          <w:rFonts w:hint="eastAsia" w:ascii="仿宋" w:hAnsi="仿宋" w:eastAsia="仿宋" w:cs="仿宋"/>
          <w:sz w:val="32"/>
          <w:szCs w:val="32"/>
          <w:lang w:val="en-US" w:eastAsia="zh-CN"/>
        </w:rPr>
        <w:t>率不够</w:t>
      </w:r>
      <w:r>
        <w:rPr>
          <w:rFonts w:hint="eastAsia" w:ascii="仿宋" w:hAnsi="仿宋" w:eastAsia="仿宋" w:cs="仿宋"/>
          <w:sz w:val="32"/>
          <w:szCs w:val="32"/>
          <w:lang w:eastAsia="zh-CN"/>
        </w:rPr>
        <w:t>。下一步改进措施：创新工作方式方法，活动开展多样</w:t>
      </w:r>
      <w:r>
        <w:rPr>
          <w:rFonts w:hint="eastAsia" w:ascii="仿宋" w:hAnsi="仿宋" w:eastAsia="仿宋" w:cs="仿宋"/>
          <w:sz w:val="32"/>
          <w:szCs w:val="32"/>
          <w:lang w:val="en-US" w:eastAsia="zh-CN"/>
        </w:rPr>
        <w:t>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w:t>
      </w:r>
      <w:r>
        <w:rPr>
          <w:rFonts w:hint="eastAsia" w:ascii="仿宋" w:hAnsi="仿宋" w:eastAsia="仿宋" w:cs="仿宋"/>
          <w:sz w:val="32"/>
          <w:szCs w:val="32"/>
          <w:lang w:eastAsia="zh-CN"/>
        </w:rPr>
        <w:t>特殊学生活动项目设置，使其参与其中，共同健康。</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rPr>
        <w:t>（3）</w:t>
      </w:r>
      <w:r>
        <w:rPr>
          <w:rFonts w:hint="eastAsia" w:ascii="方正楷体简体" w:hAnsi="方正楷体简体" w:eastAsia="方正楷体简体" w:cs="方正楷体简体"/>
          <w:sz w:val="32"/>
          <w:szCs w:val="32"/>
          <w:lang w:val="en-US" w:eastAsia="zh-CN"/>
        </w:rPr>
        <w:t>市委中心组会议</w:t>
      </w:r>
      <w:r>
        <w:rPr>
          <w:rFonts w:hint="eastAsia" w:ascii="方正楷体简体" w:hAnsi="方正楷体简体" w:eastAsia="方正楷体简体" w:cs="方正楷体简体"/>
          <w:sz w:val="32"/>
          <w:szCs w:val="32"/>
        </w:rPr>
        <w:t>项目绩效目标完成情况综述。</w:t>
      </w:r>
      <w:r>
        <w:rPr>
          <w:rFonts w:hint="eastAsia" w:ascii="仿宋_GB2312" w:hAnsi="仿宋_GB2312" w:eastAsia="仿宋_GB2312" w:cs="仿宋_GB2312"/>
          <w:sz w:val="32"/>
          <w:szCs w:val="32"/>
        </w:rPr>
        <w:t>项目全年预算数35万元，执行数为35万元，完成预算的100%，通过项目实施，</w:t>
      </w:r>
      <w:r>
        <w:rPr>
          <w:rFonts w:hint="eastAsia" w:ascii="方正仿宋简体" w:hAnsi="方正仿宋简体" w:eastAsia="方正仿宋简体" w:cs="方正仿宋简体"/>
          <w:b w:val="0"/>
          <w:bCs w:val="0"/>
          <w:kern w:val="2"/>
          <w:sz w:val="32"/>
          <w:szCs w:val="32"/>
          <w:lang w:val="en-US" w:eastAsia="zh-CN" w:bidi="ar-SA"/>
        </w:rPr>
        <w:t>推动了中心组学习宣传和宣讲阐释往深里走、往心里走、往实里走</w:t>
      </w:r>
      <w:r>
        <w:rPr>
          <w:rFonts w:hint="eastAsia" w:ascii="仿宋_GB2312" w:hAnsi="仿宋_GB2312" w:eastAsia="仿宋_GB2312" w:cs="仿宋_GB2312"/>
          <w:sz w:val="32"/>
          <w:szCs w:val="32"/>
        </w:rPr>
        <w:t>。按照省委关于市（州）党委理论学习中心组学习“集中学习研讨全年不少于6次”</w:t>
      </w:r>
      <w:r>
        <w:rPr>
          <w:rFonts w:hint="eastAsia" w:ascii="仿宋_GB2312" w:hAnsi="仿宋_GB2312" w:eastAsia="仿宋_GB2312" w:cs="仿宋_GB2312"/>
          <w:sz w:val="32"/>
          <w:szCs w:val="32"/>
          <w:lang w:val="en-US" w:eastAsia="zh-CN"/>
        </w:rPr>
        <w:t>工作要求</w:t>
      </w:r>
      <w:r>
        <w:rPr>
          <w:rFonts w:hint="eastAsia" w:ascii="仿宋_GB2312" w:hAnsi="仿宋_GB2312" w:eastAsia="仿宋_GB2312" w:cs="仿宋_GB2312"/>
          <w:sz w:val="32"/>
          <w:szCs w:val="32"/>
        </w:rPr>
        <w:t>，2020年市委理论学习中心组</w:t>
      </w:r>
      <w:r>
        <w:rPr>
          <w:rFonts w:hint="eastAsia" w:ascii="仿宋_GB2312" w:hAnsi="仿宋_GB2312" w:eastAsia="仿宋_GB2312" w:cs="仿宋_GB2312"/>
          <w:sz w:val="32"/>
          <w:szCs w:val="32"/>
          <w:lang w:eastAsia="zh-CN"/>
        </w:rPr>
        <w:t>先后邀请</w:t>
      </w:r>
      <w:r>
        <w:rPr>
          <w:rFonts w:hint="eastAsia" w:ascii="仿宋_GB2312" w:hAnsi="仿宋_GB2312" w:eastAsia="仿宋_GB2312" w:cs="仿宋_GB2312"/>
          <w:sz w:val="32"/>
          <w:szCs w:val="32"/>
          <w:lang w:val="en-US" w:eastAsia="zh-CN"/>
        </w:rPr>
        <w:t>北京市委党校公共管理教研部副主任董晓宇、四川省自然资源厅党组书记孙建军、第十三届全国政协文化文史和学习委员会副主任叶小文等专家领导</w:t>
      </w:r>
      <w:r>
        <w:rPr>
          <w:rFonts w:hint="eastAsia" w:ascii="方正仿宋简体" w:hAnsi="方正仿宋简体" w:eastAsia="方正仿宋简体" w:cs="方正仿宋简体"/>
          <w:b w:val="0"/>
          <w:bCs w:val="0"/>
          <w:kern w:val="2"/>
          <w:sz w:val="32"/>
          <w:szCs w:val="32"/>
          <w:lang w:val="en-US" w:eastAsia="zh-CN" w:bidi="ar-SA"/>
        </w:rPr>
        <w:t>赴巴作专题辅导，开展集中专题学习研讨9场次，</w:t>
      </w:r>
      <w:r>
        <w:rPr>
          <w:rFonts w:hint="eastAsia" w:ascii="仿宋_GB2312" w:hAnsi="仿宋_GB2312" w:eastAsia="仿宋_GB2312" w:cs="仿宋_GB2312"/>
          <w:sz w:val="32"/>
          <w:szCs w:val="32"/>
        </w:rPr>
        <w:t>超额完成目标任务</w:t>
      </w:r>
      <w:r>
        <w:rPr>
          <w:rFonts w:hint="eastAsia" w:ascii="仿宋_GB2312" w:hAnsi="仿宋_GB2312" w:eastAsia="仿宋_GB2312" w:cs="仿宋_GB2312"/>
          <w:sz w:val="32"/>
          <w:szCs w:val="32"/>
          <w:lang w:eastAsia="zh-CN"/>
        </w:rPr>
        <w:t>，分送《中心组学习参考资料》</w:t>
      </w:r>
      <w:r>
        <w:rPr>
          <w:rFonts w:hint="eastAsia" w:ascii="仿宋_GB2312" w:hAnsi="仿宋_GB2312" w:eastAsia="仿宋_GB2312" w:cs="仿宋_GB2312"/>
          <w:sz w:val="32"/>
          <w:szCs w:val="32"/>
          <w:lang w:val="en-US" w:eastAsia="zh-CN"/>
        </w:rPr>
        <w:t>17期及</w:t>
      </w:r>
      <w:r>
        <w:rPr>
          <w:rFonts w:hint="eastAsia" w:ascii="仿宋_GB2312" w:hAnsi="仿宋_GB2312" w:eastAsia="仿宋_GB2312" w:cs="仿宋_GB2312"/>
          <w:sz w:val="32"/>
          <w:szCs w:val="32"/>
          <w:lang w:eastAsia="zh-CN"/>
        </w:rPr>
        <w:t>《习近平谈治国理政》（第三卷）、《党的十九届五中全会</w:t>
      </w:r>
      <w:r>
        <w:rPr>
          <w:rFonts w:hint="eastAsia" w:ascii="仿宋_GB2312" w:hAnsi="仿宋_GB2312" w:eastAsia="仿宋_GB2312" w:cs="仿宋_GB2312"/>
          <w:sz w:val="32"/>
          <w:szCs w:val="32"/>
          <w:lang w:val="en-US" w:eastAsia="zh-CN"/>
        </w:rPr>
        <w:t>&lt;建议&gt;学习辅导百问</w:t>
      </w:r>
      <w:r>
        <w:rPr>
          <w:rFonts w:hint="eastAsia" w:ascii="仿宋_GB2312" w:hAnsi="仿宋_GB2312" w:eastAsia="仿宋_GB2312" w:cs="仿宋_GB2312"/>
          <w:sz w:val="32"/>
          <w:szCs w:val="32"/>
          <w:lang w:eastAsia="zh-CN"/>
        </w:rPr>
        <w:t>》等相关辅导读本</w:t>
      </w:r>
      <w:r>
        <w:rPr>
          <w:rFonts w:hint="eastAsia" w:ascii="仿宋_GB2312" w:hAnsi="仿宋_GB2312" w:eastAsia="仿宋_GB2312" w:cs="仿宋_GB2312"/>
          <w:sz w:val="32"/>
          <w:szCs w:val="32"/>
          <w:lang w:val="en-US" w:eastAsia="zh-CN"/>
        </w:rPr>
        <w:t>300余册</w:t>
      </w:r>
      <w:r>
        <w:rPr>
          <w:rFonts w:hint="eastAsia" w:ascii="方正仿宋简体" w:hAnsi="方正仿宋简体" w:eastAsia="方正仿宋简体" w:cs="方正仿宋简体"/>
          <w:b w:val="0"/>
          <w:bCs w:val="0"/>
          <w:kern w:val="2"/>
          <w:sz w:val="32"/>
          <w:szCs w:val="32"/>
          <w:lang w:val="en-US" w:eastAsia="zh-CN" w:bidi="ar-SA"/>
        </w:rPr>
        <w:t>，带动各地各部门党委（党组）学习研讨4000余场次</w:t>
      </w:r>
      <w:r>
        <w:rPr>
          <w:rFonts w:hint="eastAsia" w:ascii="仿宋_GB2312" w:hAnsi="仿宋_GB2312" w:eastAsia="仿宋_GB2312" w:cs="仿宋_GB2312"/>
          <w:sz w:val="32"/>
          <w:szCs w:val="32"/>
          <w:lang w:val="en-US" w:eastAsia="zh-CN"/>
        </w:rPr>
        <w:t>，推动理论学习常态长效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市委中心组会议形式单一，离</w:t>
      </w:r>
    </w:p>
    <w:p>
      <w:pPr>
        <w:keepNext w:val="0"/>
        <w:keepLines w:val="0"/>
        <w:pageBreakBefore w:val="0"/>
        <w:widowControl w:val="0"/>
        <w:kinsoku/>
        <w:wordWrap/>
        <w:overflowPunct/>
        <w:topLinePunct w:val="0"/>
        <w:bidi w:val="0"/>
        <w:snapToGrid/>
        <w:spacing w:line="5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市委“将中心组会议搬到基层一线、改革一线、项目一线”要求距离大，同时</w:t>
      </w:r>
      <w:r>
        <w:rPr>
          <w:rFonts w:hint="eastAsia" w:ascii="仿宋_GB2312" w:hAnsi="仿宋_GB2312" w:eastAsia="仿宋_GB2312" w:cs="仿宋_GB2312"/>
          <w:sz w:val="32"/>
          <w:szCs w:val="32"/>
          <w:lang w:eastAsia="zh-CN"/>
        </w:rPr>
        <w:t>受区位劣势影响，聘请</w:t>
      </w:r>
      <w:r>
        <w:rPr>
          <w:rFonts w:hint="eastAsia" w:ascii="仿宋_GB2312" w:hAnsi="仿宋_GB2312" w:eastAsia="仿宋_GB2312" w:cs="仿宋_GB2312"/>
          <w:sz w:val="32"/>
          <w:szCs w:val="32"/>
          <w:lang w:val="en-US" w:eastAsia="zh-CN"/>
        </w:rPr>
        <w:t>知名</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lang w:val="en-US" w:eastAsia="zh-CN"/>
        </w:rPr>
        <w:t>和领导来巴</w:t>
      </w:r>
      <w:r>
        <w:rPr>
          <w:rFonts w:hint="eastAsia" w:ascii="仿宋_GB2312" w:hAnsi="仿宋_GB2312" w:eastAsia="仿宋_GB2312" w:cs="仿宋_GB2312"/>
          <w:sz w:val="32"/>
          <w:szCs w:val="32"/>
          <w:lang w:eastAsia="zh-CN"/>
        </w:rPr>
        <w:t>授课时，</w:t>
      </w:r>
      <w:r>
        <w:rPr>
          <w:rFonts w:hint="eastAsia" w:ascii="仿宋_GB2312" w:hAnsi="仿宋_GB2312" w:eastAsia="仿宋_GB2312" w:cs="仿宋_GB2312"/>
          <w:sz w:val="32"/>
          <w:szCs w:val="32"/>
          <w:lang w:val="en-US" w:eastAsia="zh-CN"/>
        </w:rPr>
        <w:t>总体开支增加甚至</w:t>
      </w:r>
      <w:r>
        <w:rPr>
          <w:rFonts w:hint="eastAsia" w:ascii="仿宋_GB2312" w:hAnsi="仿宋_GB2312" w:eastAsia="仿宋_GB2312" w:cs="仿宋_GB2312"/>
          <w:sz w:val="32"/>
          <w:szCs w:val="32"/>
          <w:lang w:eastAsia="zh-CN"/>
        </w:rPr>
        <w:t>有超</w:t>
      </w:r>
      <w:r>
        <w:rPr>
          <w:rFonts w:hint="eastAsia" w:ascii="仿宋_GB2312" w:hAnsi="仿宋_GB2312" w:eastAsia="仿宋_GB2312" w:cs="仿宋_GB2312"/>
          <w:sz w:val="32"/>
          <w:szCs w:val="32"/>
          <w:lang w:val="en-US" w:eastAsia="zh-CN"/>
        </w:rPr>
        <w:t>预算支付</w:t>
      </w:r>
      <w:r>
        <w:rPr>
          <w:rFonts w:hint="eastAsia" w:ascii="仿宋_GB2312" w:hAnsi="仿宋_GB2312" w:eastAsia="仿宋_GB2312" w:cs="仿宋_GB2312"/>
          <w:sz w:val="32"/>
          <w:szCs w:val="32"/>
          <w:lang w:eastAsia="zh-CN"/>
        </w:rPr>
        <w:t>现象</w:t>
      </w:r>
      <w:r>
        <w:rPr>
          <w:rFonts w:hint="eastAsia" w:ascii="仿宋_GB2312" w:hAnsi="仿宋_GB2312" w:eastAsia="仿宋_GB2312" w:cs="仿宋_GB2312"/>
          <w:sz w:val="32"/>
          <w:szCs w:val="32"/>
          <w:lang w:val="en-US" w:eastAsia="zh-CN"/>
        </w:rPr>
        <w:t>，专项经费保障需进一步加强</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严格按照省委要求控制</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lang w:eastAsia="zh-CN"/>
        </w:rPr>
        <w:t>次数，</w:t>
      </w:r>
      <w:r>
        <w:rPr>
          <w:rFonts w:hint="eastAsia" w:ascii="仿宋_GB2312" w:hAnsi="仿宋_GB2312" w:eastAsia="仿宋_GB2312" w:cs="仿宋_GB2312"/>
          <w:sz w:val="32"/>
          <w:szCs w:val="32"/>
          <w:lang w:val="en-US" w:eastAsia="zh-CN"/>
        </w:rPr>
        <w:t>创新会议</w:t>
      </w:r>
      <w:r>
        <w:rPr>
          <w:rFonts w:hint="eastAsia" w:ascii="仿宋_GB2312" w:hAnsi="仿宋_GB2312" w:eastAsia="仿宋_GB2312" w:cs="仿宋_GB2312"/>
          <w:sz w:val="32"/>
          <w:szCs w:val="32"/>
          <w:lang w:eastAsia="zh-CN"/>
        </w:rPr>
        <w:t>方式、学习资料OA推送等举措</w:t>
      </w:r>
      <w:r>
        <w:rPr>
          <w:rFonts w:hint="eastAsia" w:ascii="仿宋_GB2312" w:hAnsi="仿宋_GB2312" w:eastAsia="仿宋_GB2312" w:cs="仿宋_GB2312"/>
          <w:sz w:val="32"/>
          <w:szCs w:val="32"/>
          <w:lang w:val="en-US" w:eastAsia="zh-CN"/>
        </w:rPr>
        <w:t>，节约工作成本，确保学习质量和效果。</w:t>
      </w:r>
    </w:p>
    <w:p>
      <w:pPr>
        <w:keepNext w:val="0"/>
        <w:keepLines w:val="0"/>
        <w:pageBreakBefore w:val="0"/>
        <w:widowControl w:val="0"/>
        <w:numPr>
          <w:ilvl w:val="0"/>
          <w:numId w:val="6"/>
        </w:numPr>
        <w:kinsoku/>
        <w:wordWrap/>
        <w:overflowPunct/>
        <w:topLinePunct w:val="0"/>
        <w:bidi w:val="0"/>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方正楷体简体" w:hAnsi="方正楷体简体" w:eastAsia="方正楷体简体" w:cs="方正楷体简体"/>
          <w:sz w:val="32"/>
          <w:szCs w:val="32"/>
          <w:lang w:eastAsia="zh-CN"/>
        </w:rPr>
        <w:t>巴文化研究院项目绩效目标完成情况综述。</w:t>
      </w:r>
      <w:r>
        <w:rPr>
          <w:rFonts w:hint="eastAsia" w:ascii="仿宋" w:hAnsi="仿宋" w:eastAsia="仿宋" w:cs="仿宋"/>
          <w:sz w:val="32"/>
          <w:szCs w:val="32"/>
          <w:lang w:eastAsia="zh-CN"/>
        </w:rPr>
        <w:t>项目全年预算数9万元，执行数为9万元，完成预算的100%。通过课题项目实施，立项巴文化重点研究课题11个，印制《四川省巴中市巴文化研究院课题成果选编》，分送了市委、市政府主要领导通过课题资助方式支持巴中巴文化课题研究，搭建了巴文化研究和交流平台，促进研究进一步深化，巴文化知识进一步普及，积极为建设“巴文化中心”贡献力量。发现的主要问题：研究队伍力量薄弱，</w:t>
      </w:r>
      <w:r>
        <w:rPr>
          <w:rFonts w:hint="eastAsia" w:ascii="仿宋" w:hAnsi="仿宋" w:eastAsia="仿宋" w:cs="仿宋"/>
          <w:sz w:val="32"/>
          <w:szCs w:val="32"/>
          <w:lang w:val="en-US" w:eastAsia="zh-CN"/>
        </w:rPr>
        <w:t>经费保障不足</w:t>
      </w:r>
      <w:r>
        <w:rPr>
          <w:rFonts w:hint="eastAsia" w:ascii="仿宋" w:hAnsi="仿宋" w:eastAsia="仿宋" w:cs="仿宋"/>
          <w:sz w:val="32"/>
          <w:szCs w:val="32"/>
          <w:lang w:eastAsia="zh-CN"/>
        </w:rPr>
        <w:t>。下一步改进措施：通过人才引进、公开招录等方式引进专业研究人才，扩充研究团队，加强人才队伍建设。</w:t>
      </w:r>
    </w:p>
    <w:p>
      <w:pPr>
        <w:keepNext w:val="0"/>
        <w:keepLines w:val="0"/>
        <w:pageBreakBefore w:val="0"/>
        <w:widowControl w:val="0"/>
        <w:numPr>
          <w:ilvl w:val="0"/>
          <w:numId w:val="6"/>
        </w:numPr>
        <w:kinsoku/>
        <w:wordWrap/>
        <w:overflowPunct/>
        <w:topLinePunct w:val="0"/>
        <w:bidi w:val="0"/>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方正楷体简体" w:hAnsi="方正楷体简体" w:eastAsia="方正楷体简体" w:cs="方正楷体简体"/>
          <w:sz w:val="32"/>
          <w:szCs w:val="32"/>
          <w:lang w:val="en-US" w:eastAsia="zh-CN"/>
        </w:rPr>
        <w:t>社会主义核心价值观教育</w:t>
      </w:r>
      <w:r>
        <w:rPr>
          <w:rFonts w:hint="eastAsia" w:ascii="方正楷体简体" w:hAnsi="方正楷体简体" w:eastAsia="方正楷体简体" w:cs="方正楷体简体"/>
          <w:sz w:val="32"/>
          <w:szCs w:val="32"/>
          <w:lang w:eastAsia="zh-CN"/>
        </w:rPr>
        <w:t>项目绩效目标完成情况综述</w:t>
      </w:r>
      <w:r>
        <w:rPr>
          <w:rFonts w:hint="eastAsia" w:ascii="Times New Roman" w:hAnsi="Times New Roman" w:eastAsia="方正仿宋_GBK" w:cs="Times New Roman"/>
          <w:sz w:val="32"/>
          <w:szCs w:val="32"/>
          <w:lang w:val="en-US" w:eastAsia="zh-CN"/>
        </w:rPr>
        <w:t>写好用好“红色家谱”，推动川陕革命根据地红军烈士陵园整体提升，完成川陕苏区纪念馆、红四方面军总指挥部旧址纪念馆展陈提升和川陕革命根据地博物馆暨川陕苏区将帅碑林纪念馆新馆陈列布展。《红旗漫卷大巴山》展陈入选庆祝中国共产党成立100周年精品展览推介名单，6个红色景区景点入选“建党百年</w:t>
      </w:r>
    </w:p>
    <w:tbl>
      <w:tblPr>
        <w:tblStyle w:val="9"/>
        <w:tblpPr w:leftFromText="180" w:rightFromText="180" w:vertAnchor="page" w:horzAnchor="page" w:tblpXSpec="center" w:tblpY="1553"/>
        <w:tblOverlap w:val="never"/>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9"/>
        <w:gridCol w:w="1314"/>
        <w:gridCol w:w="1117"/>
        <w:gridCol w:w="2174"/>
        <w:gridCol w:w="2186"/>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2" w:hRule="atLeast"/>
          <w:jc w:val="center"/>
        </w:trPr>
        <w:tc>
          <w:tcPr>
            <w:tcW w:w="9960" w:type="dxa"/>
            <w:gridSpan w:val="6"/>
            <w:tcBorders>
              <w:top w:val="nil"/>
              <w:left w:val="nil"/>
              <w:bottom w:val="nil"/>
              <w:right w:val="nil"/>
            </w:tcBorders>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bidi w:val="0"/>
              <w:snapToGrid/>
              <w:spacing w:line="580" w:lineRule="exact"/>
              <w:textAlignment w:val="auto"/>
              <w:rPr>
                <w:rFonts w:hint="eastAsia" w:ascii="仿宋" w:hAnsi="仿宋" w:eastAsia="仿宋" w:cs="仿宋"/>
                <w:kern w:val="2"/>
                <w:sz w:val="32"/>
                <w:szCs w:val="32"/>
                <w:lang w:val="en-US" w:eastAsia="zh-CN" w:bidi="ar-SA"/>
              </w:rPr>
            </w:pPr>
            <w:r>
              <w:rPr>
                <w:rFonts w:hint="eastAsia" w:ascii="Times New Roman" w:hAnsi="Times New Roman" w:eastAsia="方正仿宋_GBK" w:cs="Times New Roman"/>
                <w:sz w:val="32"/>
                <w:szCs w:val="32"/>
                <w:lang w:val="en-US" w:eastAsia="zh-CN"/>
              </w:rPr>
              <w:t>红色旅游百条精品线路”。</w:t>
            </w:r>
            <w:r>
              <w:rPr>
                <w:rFonts w:hint="default" w:ascii="Times New Roman" w:hAnsi="Times New Roman" w:eastAsia="方正仿宋_GBK" w:cs="Times New Roman"/>
                <w:sz w:val="32"/>
                <w:szCs w:val="32"/>
                <w:lang w:val="en-US" w:eastAsia="zh-CN"/>
              </w:rPr>
              <w:t>开展“网上清明祭英烈”“我们的节日”等主题教育活动</w:t>
            </w:r>
            <w:r>
              <w:rPr>
                <w:rFonts w:hint="eastAsia" w:ascii="Times New Roman" w:hAnsi="Times New Roman" w:eastAsia="方正仿宋_GBK" w:cs="Times New Roman"/>
                <w:sz w:val="32"/>
                <w:szCs w:val="32"/>
                <w:lang w:val="en-US" w:eastAsia="zh-CN"/>
              </w:rPr>
              <w:t>1000</w:t>
            </w:r>
            <w:r>
              <w:rPr>
                <w:rFonts w:hint="default" w:ascii="Times New Roman" w:hAnsi="Times New Roman" w:eastAsia="方正仿宋_GBK" w:cs="Times New Roman"/>
                <w:sz w:val="32"/>
                <w:szCs w:val="32"/>
                <w:lang w:val="en-US" w:eastAsia="zh-CN"/>
              </w:rPr>
              <w:t>余场次</w:t>
            </w:r>
            <w:r>
              <w:rPr>
                <w:rFonts w:hint="eastAsia" w:ascii="Times New Roman" w:hAnsi="Times New Roman" w:eastAsia="方正仿宋_GBK" w:cs="Times New Roman"/>
                <w:sz w:val="32"/>
                <w:szCs w:val="32"/>
                <w:lang w:val="en-US" w:eastAsia="zh-CN"/>
              </w:rPr>
              <w:t>。持续开展</w:t>
            </w:r>
            <w:r>
              <w:rPr>
                <w:rFonts w:hint="default" w:ascii="Times New Roman" w:hAnsi="Times New Roman" w:eastAsia="方正仿宋_GBK" w:cs="Times New Roman"/>
                <w:sz w:val="32"/>
                <w:szCs w:val="32"/>
                <w:lang w:val="en-US" w:eastAsia="zh-CN"/>
              </w:rPr>
              <w:t>巴中好人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新时代好少年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道德模范评选活动</w:t>
            </w:r>
            <w:r>
              <w:rPr>
                <w:rFonts w:hint="eastAsia" w:ascii="Times New Roman" w:hAnsi="Times New Roman" w:eastAsia="方正仿宋_GBK" w:cs="Times New Roman"/>
                <w:sz w:val="32"/>
                <w:szCs w:val="32"/>
                <w:lang w:val="en-US" w:eastAsia="zh-CN"/>
              </w:rPr>
              <w:t>，评选</w:t>
            </w:r>
            <w:r>
              <w:rPr>
                <w:rFonts w:hint="default" w:ascii="Times New Roman" w:hAnsi="Times New Roman" w:eastAsia="方正仿宋_GBK" w:cs="Times New Roman"/>
                <w:sz w:val="32"/>
                <w:szCs w:val="32"/>
                <w:lang w:val="en-US" w:eastAsia="zh-CN"/>
              </w:rPr>
              <w:t>表彰“巴中好人”49名、“新时代好少年”12名</w:t>
            </w:r>
            <w:r>
              <w:rPr>
                <w:rFonts w:hint="eastAsia" w:ascii="Times New Roman" w:hAnsi="Times New Roman" w:eastAsia="方正仿宋_GBK" w:cs="Times New Roman"/>
                <w:sz w:val="32"/>
                <w:szCs w:val="32"/>
                <w:lang w:val="en-US" w:eastAsia="zh-CN"/>
              </w:rPr>
              <w:t>、“巴中市</w:t>
            </w:r>
            <w:r>
              <w:rPr>
                <w:rFonts w:hint="default" w:ascii="Times New Roman" w:hAnsi="Times New Roman" w:eastAsia="方正仿宋_GBK" w:cs="Times New Roman"/>
                <w:sz w:val="32"/>
                <w:szCs w:val="32"/>
                <w:lang w:val="en-US" w:eastAsia="zh-CN"/>
              </w:rPr>
              <w:t>道德模范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“诚信之星”10人、“诚信社区（村）”20个</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印发《巴中市礼遇帮扶道德模范和身边好人实施办法（试行）》</w:t>
            </w:r>
            <w:r>
              <w:rPr>
                <w:rFonts w:hint="eastAsia" w:eastAsia="方正仿宋_GBK" w:cs="Times New Roman"/>
                <w:sz w:val="32"/>
                <w:szCs w:val="32"/>
                <w:lang w:val="en-US" w:eastAsia="zh-CN"/>
              </w:rPr>
              <w:t>，常态</w:t>
            </w:r>
            <w:r>
              <w:rPr>
                <w:rFonts w:hint="default" w:ascii="Times New Roman" w:hAnsi="Times New Roman" w:eastAsia="方正仿宋_GBK" w:cs="Times New Roman"/>
                <w:sz w:val="32"/>
                <w:szCs w:val="32"/>
                <w:highlight w:val="none"/>
                <w:lang w:val="en-US" w:eastAsia="zh-CN"/>
              </w:rPr>
              <w:t>开展道德模范、</w:t>
            </w:r>
            <w:r>
              <w:rPr>
                <w:rFonts w:hint="eastAsia" w:ascii="Times New Roman" w:hAnsi="Times New Roman" w:eastAsia="方正仿宋_GBK" w:cs="Times New Roman"/>
                <w:sz w:val="32"/>
                <w:szCs w:val="32"/>
                <w:highlight w:val="none"/>
                <w:lang w:val="en-US" w:eastAsia="zh-CN"/>
              </w:rPr>
              <w:t>巴中</w:t>
            </w:r>
            <w:r>
              <w:rPr>
                <w:rFonts w:hint="default" w:ascii="Times New Roman" w:hAnsi="Times New Roman" w:eastAsia="方正仿宋_GBK" w:cs="Times New Roman"/>
                <w:sz w:val="32"/>
                <w:szCs w:val="32"/>
                <w:highlight w:val="none"/>
                <w:lang w:val="en-US" w:eastAsia="zh-CN"/>
              </w:rPr>
              <w:t>好人等先进模范巡讲巡演。</w:t>
            </w:r>
            <w:r>
              <w:rPr>
                <w:rFonts w:hint="default" w:ascii="Times New Roman" w:hAnsi="Times New Roman" w:eastAsia="方正仿宋_GBK" w:cs="Times New Roman"/>
                <w:b w:val="0"/>
                <w:bCs w:val="0"/>
                <w:sz w:val="32"/>
                <w:szCs w:val="32"/>
                <w:lang w:val="en-US" w:eastAsia="zh-CN"/>
              </w:rPr>
              <w:t>成立</w:t>
            </w:r>
            <w:r>
              <w:rPr>
                <w:rFonts w:hint="default" w:ascii="Times New Roman" w:hAnsi="Times New Roman" w:eastAsia="方正仿宋_GBK" w:cs="Times New Roman"/>
                <w:b w:val="0"/>
                <w:bCs w:val="0"/>
                <w:sz w:val="32"/>
                <w:szCs w:val="32"/>
                <w:lang w:eastAsia="zh-CN"/>
              </w:rPr>
              <w:t>巴中市志愿服务联合会</w:t>
            </w:r>
            <w:r>
              <w:rPr>
                <w:rFonts w:hint="default" w:ascii="Times New Roman" w:hAnsi="Times New Roman" w:eastAsia="方正仿宋_GBK" w:cs="Times New Roman"/>
                <w:kern w:val="2"/>
                <w:sz w:val="32"/>
                <w:szCs w:val="32"/>
                <w:lang w:val="en-US" w:eastAsia="zh-CN" w:bidi="ar-SA"/>
              </w:rPr>
              <w:t>，开展关爱空巢老人、困境儿童等系列主题志愿服务活动2万余场次，参与群众</w:t>
            </w:r>
            <w:r>
              <w:rPr>
                <w:rFonts w:hint="eastAsia" w:ascii="Times New Roman" w:hAnsi="Times New Roman" w:eastAsia="方正仿宋_GBK" w:cs="Times New Roman"/>
                <w:kern w:val="2"/>
                <w:sz w:val="32"/>
                <w:szCs w:val="32"/>
                <w:lang w:val="en-US" w:eastAsia="zh-CN" w:bidi="ar-SA"/>
              </w:rPr>
              <w:t>达</w:t>
            </w:r>
            <w:r>
              <w:rPr>
                <w:rFonts w:hint="default" w:ascii="Times New Roman" w:hAnsi="Times New Roman" w:eastAsia="方正仿宋_GBK" w:cs="Times New Roman"/>
                <w:kern w:val="2"/>
                <w:sz w:val="32"/>
                <w:szCs w:val="32"/>
                <w:lang w:val="en-US" w:eastAsia="zh-CN" w:bidi="ar-SA"/>
              </w:rPr>
              <w:t>20万人次，人人争当志愿者，人人参与志愿服务</w:t>
            </w:r>
            <w:r>
              <w:rPr>
                <w:rFonts w:hint="eastAsia" w:ascii="Times New Roman" w:hAnsi="Times New Roman" w:eastAsia="方正仿宋_GBK" w:cs="Times New Roman"/>
                <w:kern w:val="2"/>
                <w:sz w:val="32"/>
                <w:szCs w:val="32"/>
                <w:lang w:val="en-US" w:eastAsia="zh-CN" w:bidi="ar-SA"/>
              </w:rPr>
              <w:t>蔚然成风</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lang w:val="en-US" w:eastAsia="zh-CN"/>
              </w:rPr>
              <w:t>举办“党史我来讲，红色照我心”“百名学子讲百年党史”</w:t>
            </w:r>
            <w:r>
              <w:rPr>
                <w:rFonts w:hint="eastAsia" w:ascii="Times New Roman" w:hAnsi="Times New Roman" w:eastAsia="方正仿宋_GBK" w:cs="Times New Roman"/>
                <w:sz w:val="32"/>
                <w:szCs w:val="32"/>
                <w:lang w:val="en-US" w:eastAsia="zh-CN"/>
              </w:rPr>
              <w:t>等主题演讲、</w:t>
            </w:r>
            <w:r>
              <w:rPr>
                <w:rFonts w:hint="default" w:ascii="Times New Roman" w:hAnsi="Times New Roman" w:eastAsia="方正仿宋_GBK" w:cs="Times New Roman"/>
                <w:sz w:val="32"/>
                <w:szCs w:val="32"/>
                <w:lang w:val="en-US" w:eastAsia="zh-CN"/>
              </w:rPr>
              <w:t>微视频展播等活动</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highlight w:val="none"/>
                <w:lang w:val="en-US" w:eastAsia="zh-CN"/>
              </w:rPr>
              <w:t>推动社会主义核心价值观教育落地生根。</w:t>
            </w:r>
          </w:p>
          <w:p>
            <w:pPr>
              <w:rPr>
                <w:rFonts w:eastAsia="方正仿宋_GBK"/>
                <w:sz w:val="32"/>
                <w:szCs w:val="32"/>
                <w:lang w:val="en-US" w:eastAsia="zh-CN"/>
              </w:rPr>
            </w:pPr>
          </w:p>
          <w:p>
            <w:pPr>
              <w:rPr>
                <w:rFonts w:eastAsia="方正仿宋_GBK"/>
                <w:sz w:val="32"/>
                <w:szCs w:val="32"/>
                <w:lang w:val="en-US" w:eastAsia="zh-CN"/>
              </w:rPr>
            </w:pPr>
          </w:p>
          <w:p>
            <w:pPr>
              <w:rPr>
                <w:rFonts w:eastAsia="方正仿宋_GBK"/>
                <w:sz w:val="32"/>
                <w:szCs w:val="32"/>
                <w:lang w:val="en-US" w:eastAsia="zh-CN"/>
              </w:rPr>
            </w:pPr>
          </w:p>
          <w:p>
            <w:pPr>
              <w:rPr>
                <w:rFonts w:eastAsia="方正仿宋_GBK"/>
                <w:sz w:val="32"/>
                <w:szCs w:val="32"/>
                <w:lang w:val="en-US" w:eastAsia="zh-CN"/>
              </w:rPr>
            </w:pPr>
          </w:p>
          <w:p>
            <w:pPr>
              <w:rPr>
                <w:rFonts w:eastAsia="方正仿宋_GBK"/>
                <w:sz w:val="32"/>
                <w:szCs w:val="32"/>
                <w:lang w:val="en-US" w:eastAsia="zh-CN"/>
              </w:rPr>
            </w:pPr>
          </w:p>
          <w:p>
            <w:pPr>
              <w:rPr>
                <w:rFonts w:eastAsia="方正仿宋_GBK"/>
                <w:sz w:val="32"/>
                <w:szCs w:val="32"/>
                <w:lang w:val="en-US" w:eastAsia="zh-CN"/>
              </w:rPr>
            </w:pPr>
          </w:p>
          <w:p>
            <w:pPr>
              <w:rPr>
                <w:rFonts w:eastAsia="方正仿宋_GBK"/>
                <w:sz w:val="32"/>
                <w:szCs w:val="32"/>
                <w:lang w:val="en-US" w:eastAsia="zh-CN"/>
              </w:rPr>
            </w:pPr>
          </w:p>
          <w:p>
            <w:pPr>
              <w:rPr>
                <w:rFonts w:eastAsia="方正仿宋_GBK"/>
                <w:sz w:val="32"/>
                <w:szCs w:val="32"/>
                <w:lang w:val="en-US" w:eastAsia="zh-CN"/>
              </w:rPr>
            </w:pPr>
          </w:p>
          <w:p>
            <w:pPr>
              <w:pStyle w:val="2"/>
              <w:rPr>
                <w:rFonts w:eastAsia="方正仿宋_GBK"/>
                <w:sz w:val="32"/>
                <w:szCs w:val="32"/>
                <w:lang w:val="en-US" w:eastAsia="zh-CN"/>
              </w:rPr>
            </w:pPr>
          </w:p>
          <w:p>
            <w:pPr>
              <w:pStyle w:val="2"/>
              <w:rPr>
                <w:rFonts w:eastAsia="方正仿宋_GBK"/>
                <w:sz w:val="32"/>
                <w:szCs w:val="32"/>
                <w:lang w:val="en-US" w:eastAsia="zh-CN"/>
              </w:rPr>
            </w:pPr>
          </w:p>
          <w:p>
            <w:pPr>
              <w:pStyle w:val="2"/>
              <w:rPr>
                <w:rFonts w:eastAsia="方正仿宋_GBK"/>
                <w:sz w:val="32"/>
                <w:szCs w:val="32"/>
                <w:lang w:val="en-US" w:eastAsia="zh-CN"/>
              </w:rPr>
            </w:pPr>
          </w:p>
          <w:p>
            <w:pPr>
              <w:pStyle w:val="2"/>
              <w:rPr>
                <w:rFonts w:eastAsia="方正仿宋_GBK"/>
                <w:sz w:val="32"/>
                <w:szCs w:val="32"/>
                <w:lang w:val="en-US" w:eastAsia="zh-CN"/>
              </w:rPr>
            </w:pPr>
          </w:p>
          <w:p>
            <w:pPr>
              <w:pStyle w:val="2"/>
              <w:rPr>
                <w:rFonts w:eastAsia="方正仿宋_GBK"/>
                <w:sz w:val="32"/>
                <w:szCs w:val="32"/>
                <w:lang w:val="en-US" w:eastAsia="zh-CN"/>
              </w:rPr>
            </w:pPr>
          </w:p>
          <w:p>
            <w:pPr>
              <w:rPr>
                <w:rFonts w:eastAsia="方正仿宋_GBK"/>
                <w:sz w:val="32"/>
                <w:szCs w:val="32"/>
                <w:lang w:val="en-US" w:eastAsia="zh-CN"/>
              </w:rPr>
            </w:pPr>
            <w:r>
              <w:rPr>
                <w:rFonts w:eastAsia="方正仿宋_GBK"/>
                <w:sz w:val="32"/>
                <w:szCs w:val="32"/>
                <w:lang w:val="en-US" w:eastAsia="zh-CN"/>
              </w:rPr>
              <w:t>附件3</w:t>
            </w:r>
          </w:p>
          <w:p>
            <w:pPr>
              <w:widowControl/>
              <w:jc w:val="center"/>
              <w:textAlignment w:val="center"/>
              <w:rPr>
                <w:rFonts w:hint="eastAsia" w:ascii="宋体" w:hAnsi="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eastAsia="方正仿宋_GBK"/>
                <w:color w:val="000000"/>
                <w:sz w:val="36"/>
                <w:szCs w:val="36"/>
              </w:rPr>
            </w:pPr>
            <w:r>
              <w:rPr>
                <w:rFonts w:eastAsia="方正仿宋_GBK"/>
                <w:color w:val="000000"/>
                <w:kern w:val="0"/>
                <w:sz w:val="36"/>
                <w:szCs w:val="36"/>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0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项目名称</w:t>
            </w:r>
          </w:p>
        </w:tc>
        <w:tc>
          <w:tcPr>
            <w:tcW w:w="696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2020年外宣工作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0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预算单位</w:t>
            </w:r>
          </w:p>
        </w:tc>
        <w:tc>
          <w:tcPr>
            <w:tcW w:w="696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中共巴中市委宣传部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预算执行情况(万元</w:t>
            </w:r>
            <w:r>
              <w:rPr>
                <w:rFonts w:hint="eastAsia" w:ascii="方正仿宋简体" w:hAnsi="方正仿宋简体" w:eastAsia="方正仿宋简体" w:cs="方正仿宋简体"/>
                <w:color w:val="000000"/>
                <w:kern w:val="0"/>
                <w:sz w:val="21"/>
                <w:szCs w:val="21"/>
              </w:rPr>
              <w:t>)</w:t>
            </w:r>
          </w:p>
        </w:tc>
        <w:tc>
          <w:tcPr>
            <w:tcW w:w="24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预算数:</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170</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执行数:</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atLeast"/>
              <w:rPr>
                <w:rFonts w:hint="eastAsia" w:ascii="方正仿宋简体" w:hAnsi="方正仿宋简体" w:eastAsia="方正仿宋简体" w:cs="方正仿宋简体"/>
                <w:sz w:val="21"/>
                <w:szCs w:val="21"/>
              </w:rPr>
            </w:pPr>
          </w:p>
        </w:tc>
        <w:tc>
          <w:tcPr>
            <w:tcW w:w="24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其中-财政拨款:</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170</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其中-财政拨款:</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atLeast"/>
              <w:rPr>
                <w:rFonts w:hint="eastAsia" w:ascii="方正仿宋简体" w:hAnsi="方正仿宋简体" w:eastAsia="方正仿宋简体" w:cs="方正仿宋简体"/>
                <w:sz w:val="21"/>
                <w:szCs w:val="21"/>
              </w:rPr>
            </w:pPr>
          </w:p>
        </w:tc>
        <w:tc>
          <w:tcPr>
            <w:tcW w:w="24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其它资金:</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0</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其它资金:</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年度目标完成情况</w:t>
            </w:r>
          </w:p>
        </w:tc>
        <w:tc>
          <w:tcPr>
            <w:tcW w:w="46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0" w:hRule="atLeast"/>
          <w:jc w:val="center"/>
        </w:trPr>
        <w:tc>
          <w:tcPr>
            <w:tcW w:w="5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方正仿宋简体" w:hAnsi="方正仿宋简体" w:eastAsia="方正仿宋简体" w:cs="方正仿宋简体"/>
                <w:sz w:val="21"/>
                <w:szCs w:val="21"/>
              </w:rPr>
            </w:pPr>
          </w:p>
        </w:tc>
        <w:tc>
          <w:tcPr>
            <w:tcW w:w="46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通过中央、省级主流新闻媒体，宣传总结推广巴中脱贫攻坚经验，邀请“走向我们的小康生活”“百县千村行”“大干快上，干出巴中加速度”等主题采访活动走进巴中，展现巴中振兴发展成就、脱贫攻坚成效等，通过在人民日报、光明日报、经济日报、四川日报等重头版面刊发巴中综合稿件。展现制作新媒体产品等，宣传巴中新时代脱贫攻坚精神，宣传巴中经济社会发展成效，提升巴中影响力。预计推出综合类稿件2000余篇，制作新媒体产品并推广。</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邀请中宣部组织的“走进我们的小康生活”，省委宣传部组织的“大干快上，干出巴中加速度”等主题采访活动走进巴中。</w:t>
            </w:r>
            <w:r>
              <w:rPr>
                <w:rFonts w:hint="eastAsia" w:ascii="方正仿宋简体" w:hAnsi="方正仿宋简体" w:eastAsia="方正仿宋简体" w:cs="方正仿宋简体"/>
                <w:color w:val="000000"/>
                <w:sz w:val="21"/>
                <w:szCs w:val="21"/>
                <w:lang w:val="en-US" w:eastAsia="zh-CN"/>
              </w:rPr>
              <w:t>中央及省级主流媒体相继</w:t>
            </w:r>
            <w:r>
              <w:rPr>
                <w:rFonts w:hint="eastAsia" w:ascii="方正仿宋简体" w:hAnsi="方正仿宋简体" w:eastAsia="方正仿宋简体" w:cs="方正仿宋简体"/>
                <w:color w:val="000000"/>
                <w:sz w:val="21"/>
                <w:szCs w:val="21"/>
              </w:rPr>
              <w:t>走进巴中，采编刊发了反映巴中经济社会发展、脱贫攻坚等成效的综合稿件</w:t>
            </w:r>
            <w:r>
              <w:rPr>
                <w:rFonts w:hint="eastAsia" w:ascii="方正仿宋简体" w:hAnsi="方正仿宋简体" w:eastAsia="方正仿宋简体" w:cs="方正仿宋简体"/>
                <w:color w:val="000000"/>
                <w:sz w:val="21"/>
                <w:szCs w:val="21"/>
                <w:lang w:val="en-US" w:eastAsia="zh-CN"/>
              </w:rPr>
              <w:t>32</w:t>
            </w:r>
            <w:r>
              <w:rPr>
                <w:rFonts w:hint="eastAsia" w:ascii="方正仿宋简体" w:hAnsi="方正仿宋简体" w:eastAsia="方正仿宋简体" w:cs="方正仿宋简体"/>
                <w:color w:val="000000"/>
                <w:sz w:val="21"/>
                <w:szCs w:val="21"/>
              </w:rPr>
              <w:t>00余条，人民日报头版《四川巴中：迈开大步奔小康》，光明日报头版《用绿水青山装点巴山蜀水》，四川日报头版头条《“铁公鸡”重塑革命老区经济地理》等稿件，总结报道了巴中干群苦干实干的</w:t>
            </w:r>
            <w:r>
              <w:rPr>
                <w:rFonts w:hint="eastAsia" w:ascii="方正仿宋简体" w:hAnsi="方正仿宋简体" w:eastAsia="方正仿宋简体" w:cs="方正仿宋简体"/>
                <w:color w:val="000000"/>
                <w:sz w:val="21"/>
                <w:szCs w:val="21"/>
                <w:lang w:val="en-US" w:eastAsia="zh-CN"/>
              </w:rPr>
              <w:t>精</w:t>
            </w:r>
            <w:r>
              <w:rPr>
                <w:rFonts w:hint="eastAsia" w:ascii="方正仿宋简体" w:hAnsi="方正仿宋简体" w:eastAsia="方正仿宋简体" w:cs="方正仿宋简体"/>
                <w:color w:val="000000"/>
                <w:sz w:val="21"/>
                <w:szCs w:val="21"/>
              </w:rPr>
              <w:t>气神，提升了巴中知名度和影响力。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6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绩效指标完成情况</w:t>
            </w: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一级指标</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二级指标</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三级指标</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预期指标值(包含数字及文字描述)</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项目完成指标</w:t>
            </w:r>
          </w:p>
        </w:tc>
        <w:tc>
          <w:tcPr>
            <w:tcW w:w="11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 xml:space="preserve">数量 </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指标</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合作媒体单位数量</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3家及以上</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合作媒体6家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项目完成指标</w:t>
            </w:r>
          </w:p>
        </w:tc>
        <w:tc>
          <w:tcPr>
            <w:tcW w:w="11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宣传巴中典型事迹</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10起以上</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宣传巴中典型100余件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项目完成指标</w:t>
            </w:r>
          </w:p>
        </w:tc>
        <w:tc>
          <w:tcPr>
            <w:tcW w:w="11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宣传巴中新闻图片</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大于10件典型事例</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宣传巴中综合稿件2000余条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kern w:val="0"/>
                <w:sz w:val="21"/>
                <w:szCs w:val="21"/>
              </w:rPr>
            </w:pPr>
            <w:r>
              <w:rPr>
                <w:rFonts w:hint="eastAsia" w:ascii="方正仿宋简体" w:hAnsi="方正仿宋简体" w:eastAsia="方正仿宋简体" w:cs="方正仿宋简体"/>
                <w:color w:val="000000"/>
                <w:kern w:val="0"/>
                <w:sz w:val="21"/>
                <w:szCs w:val="21"/>
              </w:rPr>
              <w:t>项目完成指标</w:t>
            </w:r>
          </w:p>
        </w:tc>
        <w:tc>
          <w:tcPr>
            <w:tcW w:w="11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质量</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指标</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宣传工作社会影响力</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提高美誉度</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提高美誉度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项目完成指标</w:t>
            </w:r>
          </w:p>
        </w:tc>
        <w:tc>
          <w:tcPr>
            <w:tcW w:w="11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典型事迹</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提高巴中美誉度</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提高巴中美誉度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效益指标</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时效</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指标</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完成时间</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2020.1-2020.12</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2020.1-2020.12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效益指标</w:t>
            </w:r>
          </w:p>
        </w:tc>
        <w:tc>
          <w:tcPr>
            <w:tcW w:w="11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成本</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指标</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合作经费</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150</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6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方正仿宋简体" w:hAnsi="方正仿宋简体" w:eastAsia="方正仿宋简体" w:cs="方正仿宋简体"/>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sz w:val="21"/>
                <w:szCs w:val="21"/>
              </w:rPr>
            </w:pP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媒体接待及</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其他费用</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20</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6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rPr>
            </w:pPr>
          </w:p>
        </w:tc>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kern w:val="0"/>
                <w:sz w:val="21"/>
                <w:szCs w:val="21"/>
              </w:rPr>
              <w:t>满意度指标</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指标</w:t>
            </w:r>
          </w:p>
        </w:tc>
        <w:tc>
          <w:tcPr>
            <w:tcW w:w="2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服务对象满意度</w:t>
            </w:r>
          </w:p>
        </w:tc>
        <w:tc>
          <w:tcPr>
            <w:tcW w:w="2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满意</w:t>
            </w:r>
          </w:p>
        </w:tc>
        <w:tc>
          <w:tcPr>
            <w:tcW w:w="2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color w:val="000000"/>
                <w:sz w:val="21"/>
                <w:szCs w:val="21"/>
              </w:rPr>
            </w:pPr>
            <w:r>
              <w:rPr>
                <w:rFonts w:hint="eastAsia" w:ascii="方正仿宋简体" w:hAnsi="方正仿宋简体" w:eastAsia="方正仿宋简体" w:cs="方正仿宋简体"/>
                <w:color w:val="000000"/>
                <w:sz w:val="21"/>
                <w:szCs w:val="21"/>
              </w:rPr>
              <w:t>满意</w:t>
            </w:r>
          </w:p>
        </w:tc>
      </w:tr>
    </w:tbl>
    <w:p>
      <w:pPr>
        <w:spacing w:line="580" w:lineRule="exact"/>
        <w:ind w:left="630"/>
        <w:rPr>
          <w:rFonts w:hint="eastAsia" w:ascii="方正仿宋简体" w:hAnsi="方正仿宋简体" w:eastAsia="方正仿宋简体" w:cs="方正仿宋简体"/>
          <w:sz w:val="21"/>
          <w:szCs w:val="21"/>
        </w:rPr>
      </w:pPr>
    </w:p>
    <w:tbl>
      <w:tblPr>
        <w:tblStyle w:val="9"/>
        <w:tblpPr w:leftFromText="180" w:rightFromText="180" w:vertAnchor="page" w:horzAnchor="page" w:tblpXSpec="center" w:tblpY="1713"/>
        <w:tblOverlap w:val="never"/>
        <w:tblW w:w="9640" w:type="dxa"/>
        <w:jc w:val="center"/>
        <w:tblLayout w:type="fixed"/>
        <w:tblCellMar>
          <w:top w:w="0" w:type="dxa"/>
          <w:left w:w="0" w:type="dxa"/>
          <w:bottom w:w="0" w:type="dxa"/>
          <w:right w:w="0" w:type="dxa"/>
        </w:tblCellMar>
      </w:tblPr>
      <w:tblGrid>
        <w:gridCol w:w="391"/>
        <w:gridCol w:w="1321"/>
        <w:gridCol w:w="1140"/>
        <w:gridCol w:w="2070"/>
        <w:gridCol w:w="2403"/>
        <w:gridCol w:w="2315"/>
      </w:tblGrid>
      <w:tr>
        <w:tblPrEx>
          <w:tblCellMar>
            <w:top w:w="0" w:type="dxa"/>
            <w:left w:w="0" w:type="dxa"/>
            <w:bottom w:w="0" w:type="dxa"/>
            <w:right w:w="0" w:type="dxa"/>
          </w:tblCellMar>
        </w:tblPrEx>
        <w:trPr>
          <w:trHeight w:val="1582" w:hRule="atLeast"/>
          <w:jc w:val="center"/>
        </w:trPr>
        <w:tc>
          <w:tcPr>
            <w:tcW w:w="964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362" w:hRule="atLeast"/>
          <w:jc w:val="center"/>
        </w:trPr>
        <w:tc>
          <w:tcPr>
            <w:tcW w:w="28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项目名称</w:t>
            </w:r>
          </w:p>
        </w:tc>
        <w:tc>
          <w:tcPr>
            <w:tcW w:w="67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未成年人思想道德建设经费</w:t>
            </w:r>
          </w:p>
        </w:tc>
      </w:tr>
      <w:tr>
        <w:tblPrEx>
          <w:tblCellMar>
            <w:top w:w="0" w:type="dxa"/>
            <w:left w:w="0" w:type="dxa"/>
            <w:bottom w:w="0" w:type="dxa"/>
            <w:right w:w="0" w:type="dxa"/>
          </w:tblCellMar>
        </w:tblPrEx>
        <w:trPr>
          <w:trHeight w:val="332" w:hRule="atLeast"/>
          <w:jc w:val="center"/>
        </w:trPr>
        <w:tc>
          <w:tcPr>
            <w:tcW w:w="28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预算单位</w:t>
            </w:r>
          </w:p>
        </w:tc>
        <w:tc>
          <w:tcPr>
            <w:tcW w:w="67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中共巴中市委宣传部</w:t>
            </w:r>
          </w:p>
        </w:tc>
      </w:tr>
      <w:tr>
        <w:tblPrEx>
          <w:tblCellMar>
            <w:top w:w="0" w:type="dxa"/>
            <w:left w:w="0" w:type="dxa"/>
            <w:bottom w:w="0" w:type="dxa"/>
            <w:right w:w="0" w:type="dxa"/>
          </w:tblCellMar>
        </w:tblPrEx>
        <w:trPr>
          <w:trHeight w:val="362"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预</w:t>
            </w:r>
            <w:r>
              <w:rPr>
                <w:rFonts w:hint="eastAsia" w:ascii="方正仿宋简体" w:hAnsi="方正仿宋简体" w:eastAsia="方正仿宋简体" w:cs="方正仿宋简体"/>
                <w:b w:val="0"/>
                <w:bCs w:val="0"/>
                <w:color w:val="000000"/>
                <w:sz w:val="21"/>
                <w:szCs w:val="21"/>
                <w:lang w:val="en-US" w:eastAsia="zh-CN"/>
              </w:rPr>
              <w:t>预</w:t>
            </w:r>
            <w:r>
              <w:rPr>
                <w:rFonts w:hint="eastAsia" w:ascii="方正仿宋简体" w:hAnsi="方正仿宋简体" w:eastAsia="方正仿宋简体" w:cs="方正仿宋简体"/>
                <w:b w:val="0"/>
                <w:bCs w:val="0"/>
                <w:color w:val="000000"/>
                <w:sz w:val="21"/>
                <w:szCs w:val="21"/>
              </w:rPr>
              <w:t>算执行情况(万元)</w:t>
            </w:r>
          </w:p>
        </w:tc>
        <w:tc>
          <w:tcPr>
            <w:tcW w:w="24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预算数:</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40</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执行数:</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40</w:t>
            </w:r>
          </w:p>
        </w:tc>
      </w:tr>
      <w:tr>
        <w:tblPrEx>
          <w:tblCellMar>
            <w:top w:w="0" w:type="dxa"/>
            <w:left w:w="0" w:type="dxa"/>
            <w:bottom w:w="0" w:type="dxa"/>
            <w:right w:w="0" w:type="dxa"/>
          </w:tblCellMar>
        </w:tblPrEx>
        <w:trPr>
          <w:trHeight w:val="360"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p>
        </w:tc>
        <w:tc>
          <w:tcPr>
            <w:tcW w:w="24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其中-财政拨款:</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40</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其中-财政拨款:</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40</w:t>
            </w:r>
          </w:p>
        </w:tc>
      </w:tr>
      <w:tr>
        <w:tblPrEx>
          <w:tblCellMar>
            <w:top w:w="0" w:type="dxa"/>
            <w:left w:w="0" w:type="dxa"/>
            <w:bottom w:w="0" w:type="dxa"/>
            <w:right w:w="0" w:type="dxa"/>
          </w:tblCellMar>
        </w:tblPrEx>
        <w:trPr>
          <w:trHeight w:val="1813"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p>
        </w:tc>
        <w:tc>
          <w:tcPr>
            <w:tcW w:w="24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其它资金:</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0</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其它资金:</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val="en-US" w:eastAsia="zh-CN"/>
              </w:rPr>
              <w:t>0</w:t>
            </w:r>
          </w:p>
        </w:tc>
      </w:tr>
      <w:tr>
        <w:tblPrEx>
          <w:tblCellMar>
            <w:top w:w="0" w:type="dxa"/>
            <w:left w:w="0" w:type="dxa"/>
            <w:bottom w:w="0" w:type="dxa"/>
            <w:right w:w="0" w:type="dxa"/>
          </w:tblCellMar>
        </w:tblPrEx>
        <w:trPr>
          <w:trHeight w:val="370"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年度目标完成情况</w:t>
            </w:r>
          </w:p>
        </w:tc>
        <w:tc>
          <w:tcPr>
            <w:tcW w:w="45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预期目标</w:t>
            </w:r>
          </w:p>
        </w:tc>
        <w:tc>
          <w:tcPr>
            <w:tcW w:w="4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实际完成目标</w:t>
            </w:r>
          </w:p>
        </w:tc>
      </w:tr>
      <w:tr>
        <w:tblPrEx>
          <w:tblCellMar>
            <w:top w:w="0" w:type="dxa"/>
            <w:left w:w="0" w:type="dxa"/>
            <w:bottom w:w="0" w:type="dxa"/>
            <w:right w:w="0" w:type="dxa"/>
          </w:tblCellMar>
        </w:tblPrEx>
        <w:trPr>
          <w:trHeight w:val="2144"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p>
        </w:tc>
        <w:tc>
          <w:tcPr>
            <w:tcW w:w="45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通过开展“童心向党”“扣好人生第一粒扣子”等教育实践活动，举办“党的故事我来讲”主题演讲比赛、“新时代好少年”少年发布仪式，等活动，促进未成年人健康成长。</w:t>
            </w:r>
          </w:p>
        </w:tc>
        <w:tc>
          <w:tcPr>
            <w:tcW w:w="4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lang w:eastAsia="zh-CN"/>
              </w:rPr>
              <w:t>开展了“童心向党”“扣好人生第一粒扣子”等主题教育实践活动，举办“传承红色基因·争做时代新人”主题演讲比赛、“新时代好少年”少年发布仪式，在开展“劳动美”实践活动中，观音井小学和花丛中学开展插秧和收割麦子劳动实践活动在《中国教育报》2020年5月19日第六版宣传报道。丰富多彩的活动，促进了未成年人健康快乐成长，使全市未成年思想道德建设工作更上一个台阶。</w:t>
            </w:r>
          </w:p>
        </w:tc>
      </w:tr>
      <w:tr>
        <w:tblPrEx>
          <w:tblCellMar>
            <w:top w:w="0" w:type="dxa"/>
            <w:left w:w="0" w:type="dxa"/>
            <w:bottom w:w="0" w:type="dxa"/>
            <w:right w:w="0" w:type="dxa"/>
          </w:tblCellMar>
        </w:tblPrEx>
        <w:trPr>
          <w:trHeight w:val="583" w:hRule="atLeast"/>
          <w:jc w:val="center"/>
        </w:trPr>
        <w:tc>
          <w:tcPr>
            <w:tcW w:w="3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绩效指标完成情况</w:t>
            </w: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一级指标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二级指标</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三级指标</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预期指标值(包含数字及文字描述)</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实际完成指标值(包含数字及文字描述)</w:t>
            </w:r>
          </w:p>
        </w:tc>
      </w:tr>
      <w:tr>
        <w:tblPrEx>
          <w:tblCellMar>
            <w:top w:w="0" w:type="dxa"/>
            <w:left w:w="0" w:type="dxa"/>
            <w:bottom w:w="0" w:type="dxa"/>
            <w:right w:w="0" w:type="dxa"/>
          </w:tblCellMar>
        </w:tblPrEx>
        <w:trPr>
          <w:trHeight w:val="186"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项目完成指标</w:t>
            </w:r>
          </w:p>
        </w:tc>
        <w:tc>
          <w:tcPr>
            <w:tcW w:w="11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数量目标</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开展“童心向党”主题教育实践活动</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全市</w:t>
            </w:r>
            <w:r>
              <w:rPr>
                <w:rFonts w:hint="eastAsia" w:ascii="方正仿宋简体" w:hAnsi="方正仿宋简体" w:eastAsia="方正仿宋简体" w:cs="方正仿宋简体"/>
                <w:b w:val="0"/>
                <w:bCs w:val="0"/>
                <w:color w:val="000000"/>
                <w:sz w:val="21"/>
                <w:szCs w:val="21"/>
                <w:lang w:val="en-US" w:eastAsia="zh-CN"/>
              </w:rPr>
              <w:t>425所</w:t>
            </w:r>
            <w:r>
              <w:rPr>
                <w:rFonts w:hint="eastAsia" w:ascii="方正仿宋简体" w:hAnsi="方正仿宋简体" w:eastAsia="方正仿宋简体" w:cs="方正仿宋简体"/>
                <w:b w:val="0"/>
                <w:bCs w:val="0"/>
                <w:color w:val="000000"/>
                <w:sz w:val="21"/>
                <w:szCs w:val="21"/>
                <w:lang w:eastAsia="zh-CN"/>
              </w:rPr>
              <w:t>中小学校全覆盖</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eastAsia="zh-CN"/>
              </w:rPr>
              <w:t>全覆盖，受益人数达</w:t>
            </w:r>
            <w:r>
              <w:rPr>
                <w:rFonts w:hint="eastAsia" w:ascii="方正仿宋简体" w:hAnsi="方正仿宋简体" w:eastAsia="方正仿宋简体" w:cs="方正仿宋简体"/>
                <w:b w:val="0"/>
                <w:bCs w:val="0"/>
                <w:color w:val="000000"/>
                <w:sz w:val="21"/>
                <w:szCs w:val="21"/>
                <w:lang w:val="en-US" w:eastAsia="zh-CN"/>
              </w:rPr>
              <w:t>40余万人</w:t>
            </w:r>
          </w:p>
        </w:tc>
      </w:tr>
      <w:tr>
        <w:tblPrEx>
          <w:tblCellMar>
            <w:top w:w="0" w:type="dxa"/>
            <w:left w:w="0" w:type="dxa"/>
            <w:bottom w:w="0" w:type="dxa"/>
            <w:right w:w="0" w:type="dxa"/>
          </w:tblCellMar>
        </w:tblPrEx>
        <w:trPr>
          <w:trHeight w:val="644"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项目完成指标</w:t>
            </w:r>
          </w:p>
        </w:tc>
        <w:tc>
          <w:tcPr>
            <w:tcW w:w="11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lang w:eastAsia="zh-CN"/>
              </w:rPr>
              <w:t>“扣好人生第一粒扣子”等教育实践活动</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lang w:eastAsia="zh-CN"/>
              </w:rPr>
              <w:t>全市</w:t>
            </w:r>
            <w:r>
              <w:rPr>
                <w:rFonts w:hint="eastAsia" w:ascii="方正仿宋简体" w:hAnsi="方正仿宋简体" w:eastAsia="方正仿宋简体" w:cs="方正仿宋简体"/>
                <w:b w:val="0"/>
                <w:bCs w:val="0"/>
                <w:color w:val="000000"/>
                <w:sz w:val="21"/>
                <w:szCs w:val="21"/>
                <w:lang w:val="en-US" w:eastAsia="zh-CN"/>
              </w:rPr>
              <w:t>425所</w:t>
            </w:r>
            <w:r>
              <w:rPr>
                <w:rFonts w:hint="eastAsia" w:ascii="方正仿宋简体" w:hAnsi="方正仿宋简体" w:eastAsia="方正仿宋简体" w:cs="方正仿宋简体"/>
                <w:b w:val="0"/>
                <w:bCs w:val="0"/>
                <w:color w:val="000000"/>
                <w:sz w:val="21"/>
                <w:szCs w:val="21"/>
                <w:lang w:eastAsia="zh-CN"/>
              </w:rPr>
              <w:t>中小学校全覆盖</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lang w:eastAsia="zh-CN"/>
              </w:rPr>
              <w:t>全覆盖，受益人数达</w:t>
            </w:r>
            <w:r>
              <w:rPr>
                <w:rFonts w:hint="eastAsia" w:ascii="方正仿宋简体" w:hAnsi="方正仿宋简体" w:eastAsia="方正仿宋简体" w:cs="方正仿宋简体"/>
                <w:b w:val="0"/>
                <w:bCs w:val="0"/>
                <w:color w:val="000000"/>
                <w:sz w:val="21"/>
                <w:szCs w:val="21"/>
                <w:lang w:val="en-US" w:eastAsia="zh-CN"/>
              </w:rPr>
              <w:t>40余万人</w:t>
            </w:r>
          </w:p>
        </w:tc>
      </w:tr>
      <w:tr>
        <w:tblPrEx>
          <w:tblCellMar>
            <w:top w:w="0" w:type="dxa"/>
            <w:left w:w="0" w:type="dxa"/>
            <w:bottom w:w="0" w:type="dxa"/>
            <w:right w:w="0" w:type="dxa"/>
          </w:tblCellMar>
        </w:tblPrEx>
        <w:trPr>
          <w:trHeight w:val="641"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项目完成指标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质量目标</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促进未成年人健康成长</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促进未成年人健康成长</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促进未成年人健康成长</w:t>
            </w:r>
          </w:p>
        </w:tc>
      </w:tr>
      <w:tr>
        <w:tblPrEx>
          <w:tblCellMar>
            <w:top w:w="0" w:type="dxa"/>
            <w:left w:w="0" w:type="dxa"/>
            <w:bottom w:w="0" w:type="dxa"/>
            <w:right w:w="0" w:type="dxa"/>
          </w:tblCellMar>
        </w:tblPrEx>
        <w:trPr>
          <w:trHeight w:val="386"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效益指标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实效指标</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完成时间</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2020.1-2020.12</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lang w:val="en-US" w:eastAsia="zh-CN"/>
              </w:rPr>
              <w:t>2020.1-2020.12</w:t>
            </w:r>
          </w:p>
        </w:tc>
      </w:tr>
      <w:tr>
        <w:tblPrEx>
          <w:tblCellMar>
            <w:top w:w="0" w:type="dxa"/>
            <w:left w:w="0" w:type="dxa"/>
            <w:bottom w:w="0" w:type="dxa"/>
            <w:right w:w="0" w:type="dxa"/>
          </w:tblCellMar>
        </w:tblPrEx>
        <w:trPr>
          <w:trHeight w:val="535" w:hRule="atLeast"/>
          <w:jc w:val="center"/>
        </w:trPr>
        <w:tc>
          <w:tcPr>
            <w:tcW w:w="39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效益指标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成本指标</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未成年人思想道德建设经费</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40</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40</w:t>
            </w:r>
          </w:p>
        </w:tc>
      </w:tr>
      <w:tr>
        <w:tblPrEx>
          <w:tblCellMar>
            <w:top w:w="0" w:type="dxa"/>
            <w:left w:w="0" w:type="dxa"/>
            <w:bottom w:w="0" w:type="dxa"/>
            <w:right w:w="0" w:type="dxa"/>
          </w:tblCellMar>
        </w:tblPrEx>
        <w:trPr>
          <w:trHeight w:val="568" w:hRule="atLeast"/>
          <w:jc w:val="center"/>
        </w:trPr>
        <w:tc>
          <w:tcPr>
            <w:tcW w:w="3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center"/>
              <w:textAlignment w:val="center"/>
              <w:rPr>
                <w:rFonts w:hint="eastAsia" w:ascii="方正仿宋简体" w:hAnsi="方正仿宋简体" w:eastAsia="方正仿宋简体" w:cs="方正仿宋简体"/>
                <w:b w:val="0"/>
                <w:bCs w:val="0"/>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rPr>
              <w:t>满意度指标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rPr>
            </w:pPr>
            <w:r>
              <w:rPr>
                <w:rFonts w:hint="eastAsia" w:ascii="方正仿宋简体" w:hAnsi="方正仿宋简体" w:eastAsia="方正仿宋简体" w:cs="方正仿宋简体"/>
                <w:b w:val="0"/>
                <w:bCs w:val="0"/>
                <w:color w:val="000000"/>
                <w:sz w:val="21"/>
                <w:szCs w:val="21"/>
                <w:lang w:eastAsia="zh-CN"/>
              </w:rPr>
              <w:t>满意度指标</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服务对象满意度</w:t>
            </w:r>
          </w:p>
        </w:tc>
        <w:tc>
          <w:tcPr>
            <w:tcW w:w="2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满意</w:t>
            </w:r>
          </w:p>
        </w:tc>
        <w:tc>
          <w:tcPr>
            <w:tcW w:w="2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满意</w:t>
            </w:r>
          </w:p>
        </w:tc>
      </w:tr>
    </w:tbl>
    <w:p>
      <w:pPr>
        <w:keepNext w:val="0"/>
        <w:keepLines w:val="0"/>
        <w:pageBreakBefore w:val="0"/>
        <w:kinsoku/>
        <w:wordWrap/>
        <w:overflowPunct/>
        <w:topLinePunct w:val="0"/>
        <w:autoSpaceDE/>
        <w:autoSpaceDN/>
        <w:bidi w:val="0"/>
        <w:adjustRightInd/>
        <w:snapToGrid/>
        <w:spacing w:line="300" w:lineRule="exact"/>
        <w:ind w:left="0"/>
        <w:jc w:val="center"/>
        <w:rPr>
          <w:rFonts w:hint="eastAsia" w:ascii="方正仿宋简体" w:hAnsi="方正仿宋简体" w:eastAsia="方正仿宋简体" w:cs="方正仿宋简体"/>
          <w:b w:val="0"/>
          <w:bCs w:val="0"/>
          <w:sz w:val="21"/>
          <w:szCs w:val="21"/>
        </w:rPr>
      </w:pPr>
    </w:p>
    <w:tbl>
      <w:tblPr>
        <w:tblStyle w:val="9"/>
        <w:tblpPr w:leftFromText="180" w:rightFromText="180" w:vertAnchor="text" w:horzAnchor="page" w:tblpX="1052" w:tblpY="134"/>
        <w:tblOverlap w:val="never"/>
        <w:tblW w:w="9960" w:type="dxa"/>
        <w:jc w:val="center"/>
        <w:tblLayout w:type="fixed"/>
        <w:tblCellMar>
          <w:top w:w="0" w:type="dxa"/>
          <w:left w:w="0" w:type="dxa"/>
          <w:bottom w:w="0" w:type="dxa"/>
          <w:right w:w="0" w:type="dxa"/>
        </w:tblCellMar>
      </w:tblPr>
      <w:tblGrid>
        <w:gridCol w:w="390"/>
        <w:gridCol w:w="1632"/>
        <w:gridCol w:w="1095"/>
        <w:gridCol w:w="2057"/>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311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项目名称</w:t>
            </w:r>
          </w:p>
        </w:tc>
        <w:tc>
          <w:tcPr>
            <w:tcW w:w="68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市委中心组会议费</w:t>
            </w:r>
          </w:p>
        </w:tc>
      </w:tr>
      <w:tr>
        <w:tblPrEx>
          <w:tblCellMar>
            <w:top w:w="0" w:type="dxa"/>
            <w:left w:w="0" w:type="dxa"/>
            <w:bottom w:w="0" w:type="dxa"/>
            <w:right w:w="0" w:type="dxa"/>
          </w:tblCellMar>
        </w:tblPrEx>
        <w:trPr>
          <w:trHeight w:val="276" w:hRule="atLeast"/>
          <w:jc w:val="center"/>
        </w:trPr>
        <w:tc>
          <w:tcPr>
            <w:tcW w:w="311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预算单位</w:t>
            </w:r>
          </w:p>
        </w:tc>
        <w:tc>
          <w:tcPr>
            <w:tcW w:w="68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中共巴中市委宣传部</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预算执行情况(万元)</w:t>
            </w:r>
          </w:p>
        </w:tc>
        <w:tc>
          <w:tcPr>
            <w:tcW w:w="27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预算数:</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27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其中-财政拨款:</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27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其它资金:</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按照省委关于市（州）党委理论学习中心组学习“集中学习研讨全年不少于6次”</w:t>
            </w:r>
            <w:r>
              <w:rPr>
                <w:rFonts w:hint="eastAsia" w:ascii="仿宋" w:hAnsi="仿宋" w:eastAsia="仿宋" w:cs="仿宋"/>
                <w:color w:val="000000"/>
                <w:sz w:val="21"/>
                <w:szCs w:val="21"/>
                <w:lang w:val="en-US" w:eastAsia="zh-CN"/>
              </w:rPr>
              <w:t>工作要求</w:t>
            </w:r>
            <w:r>
              <w:rPr>
                <w:rFonts w:hint="eastAsia" w:ascii="仿宋" w:hAnsi="仿宋" w:eastAsia="仿宋" w:cs="仿宋"/>
                <w:color w:val="000000"/>
                <w:sz w:val="21"/>
                <w:szCs w:val="21"/>
                <w:lang w:eastAsia="zh-CN"/>
              </w:rPr>
              <w:t>邀请</w:t>
            </w:r>
            <w:r>
              <w:rPr>
                <w:rFonts w:hint="eastAsia" w:ascii="仿宋" w:hAnsi="仿宋" w:eastAsia="仿宋" w:cs="仿宋"/>
                <w:color w:val="000000"/>
                <w:sz w:val="21"/>
                <w:szCs w:val="21"/>
                <w:lang w:val="en-US" w:eastAsia="zh-CN"/>
              </w:rPr>
              <w:t>知名专家领导赴巴作专题辅导，带动各地各部门党委（党组）学习研讨1000余场次，推动理论学习常态长效。</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 xml:space="preserve">  开展集中专题学习研讨9场次，</w:t>
            </w:r>
            <w:r>
              <w:rPr>
                <w:rFonts w:hint="eastAsia" w:ascii="仿宋" w:hAnsi="仿宋" w:eastAsia="仿宋" w:cs="仿宋"/>
                <w:color w:val="000000"/>
                <w:sz w:val="21"/>
                <w:szCs w:val="21"/>
                <w:lang w:eastAsia="zh-CN"/>
              </w:rPr>
              <w:t>超额完成目标任务，分送《中心组学习参考资料》</w:t>
            </w:r>
            <w:r>
              <w:rPr>
                <w:rFonts w:hint="eastAsia" w:ascii="仿宋" w:hAnsi="仿宋" w:eastAsia="仿宋" w:cs="仿宋"/>
                <w:color w:val="000000"/>
                <w:sz w:val="21"/>
                <w:szCs w:val="21"/>
                <w:lang w:val="en-US" w:eastAsia="zh-CN"/>
              </w:rPr>
              <w:t>17期及</w:t>
            </w:r>
            <w:r>
              <w:rPr>
                <w:rFonts w:hint="eastAsia" w:ascii="仿宋" w:hAnsi="仿宋" w:eastAsia="仿宋" w:cs="仿宋"/>
                <w:color w:val="000000"/>
                <w:sz w:val="21"/>
                <w:szCs w:val="21"/>
                <w:lang w:eastAsia="zh-CN"/>
              </w:rPr>
              <w:t>《习近平谈治国理政》（第三卷）等相关辅导读本</w:t>
            </w:r>
            <w:r>
              <w:rPr>
                <w:rFonts w:hint="eastAsia" w:ascii="仿宋" w:hAnsi="仿宋" w:eastAsia="仿宋" w:cs="仿宋"/>
                <w:color w:val="000000"/>
                <w:sz w:val="21"/>
                <w:szCs w:val="21"/>
                <w:lang w:val="en-US" w:eastAsia="zh-CN"/>
              </w:rPr>
              <w:t>300余册，带动各地各部门党委（党组）学习研讨4000余场次，推动理论学习常态长效</w:t>
            </w:r>
            <w:r>
              <w:rPr>
                <w:rFonts w:hint="eastAsia" w:ascii="仿宋" w:hAnsi="仿宋" w:eastAsia="仿宋" w:cs="仿宋"/>
                <w:color w:val="000000"/>
                <w:sz w:val="21"/>
                <w:szCs w:val="21"/>
                <w:lang w:eastAsia="zh-CN"/>
              </w:rPr>
              <w:t>。</w:t>
            </w:r>
          </w:p>
        </w:tc>
      </w:tr>
      <w:tr>
        <w:tblPrEx>
          <w:tblCellMar>
            <w:top w:w="0" w:type="dxa"/>
            <w:left w:w="0" w:type="dxa"/>
            <w:bottom w:w="0" w:type="dxa"/>
            <w:right w:w="0" w:type="dxa"/>
          </w:tblCellMar>
        </w:tblPrEx>
        <w:trPr>
          <w:trHeight w:val="787"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绩效指标完成情况</w:t>
            </w:r>
          </w:p>
        </w:tc>
        <w:tc>
          <w:tcPr>
            <w:tcW w:w="1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一级指标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二级指标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实际完成指标值(包含数字及文字描述)</w:t>
            </w:r>
          </w:p>
        </w:tc>
      </w:tr>
      <w:tr>
        <w:tblPrEx>
          <w:tblCellMar>
            <w:top w:w="0" w:type="dxa"/>
            <w:left w:w="0" w:type="dxa"/>
            <w:bottom w:w="0" w:type="dxa"/>
            <w:right w:w="0" w:type="dxa"/>
          </w:tblCellMar>
        </w:tblPrEx>
        <w:trPr>
          <w:trHeight w:val="69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1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项目完成指标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方正仿宋简体" w:hAnsi="方正仿宋简体" w:eastAsia="方正仿宋简体" w:cs="方正仿宋简体"/>
                <w:b w:val="0"/>
                <w:bCs w:val="0"/>
                <w:color w:val="000000"/>
                <w:sz w:val="21"/>
                <w:szCs w:val="21"/>
                <w:lang w:eastAsia="zh-CN"/>
              </w:rPr>
              <w:t>数量目标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集中学习</w:t>
            </w:r>
            <w:r>
              <w:rPr>
                <w:rFonts w:hint="eastAsia" w:ascii="仿宋" w:hAnsi="仿宋" w:eastAsia="仿宋" w:cs="仿宋"/>
                <w:color w:val="000000"/>
                <w:sz w:val="21"/>
                <w:szCs w:val="21"/>
                <w:lang w:eastAsia="zh-CN"/>
              </w:rPr>
              <w:t>会议场次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全年不少于6次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9场次</w:t>
            </w:r>
          </w:p>
        </w:tc>
      </w:tr>
      <w:tr>
        <w:tblPrEx>
          <w:tblCellMar>
            <w:top w:w="0" w:type="dxa"/>
            <w:left w:w="0" w:type="dxa"/>
            <w:bottom w:w="0" w:type="dxa"/>
            <w:right w:w="0" w:type="dxa"/>
          </w:tblCellMar>
        </w:tblPrEx>
        <w:trPr>
          <w:trHeight w:val="103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1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项目完成指标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方正仿宋简体" w:hAnsi="方正仿宋简体" w:eastAsia="方正仿宋简体" w:cs="方正仿宋简体"/>
                <w:b w:val="0"/>
                <w:bCs w:val="0"/>
                <w:color w:val="000000"/>
                <w:sz w:val="21"/>
                <w:szCs w:val="21"/>
                <w:lang w:eastAsia="zh-CN"/>
              </w:rPr>
              <w:t>数量目标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各地各部门党委（党组）学习研讨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全年不少于1000余场次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4000余场次</w:t>
            </w:r>
          </w:p>
        </w:tc>
      </w:tr>
      <w:tr>
        <w:tblPrEx>
          <w:tblCellMar>
            <w:top w:w="0" w:type="dxa"/>
            <w:left w:w="0" w:type="dxa"/>
            <w:bottom w:w="0" w:type="dxa"/>
            <w:right w:w="0" w:type="dxa"/>
          </w:tblCellMar>
        </w:tblPrEx>
        <w:trPr>
          <w:trHeight w:val="57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1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rPr>
            </w:pPr>
            <w:r>
              <w:rPr>
                <w:rFonts w:hint="eastAsia" w:ascii="方正仿宋简体" w:hAnsi="方正仿宋简体" w:eastAsia="方正仿宋简体" w:cs="方正仿宋简体"/>
                <w:b w:val="0"/>
                <w:bCs w:val="0"/>
                <w:color w:val="000000"/>
                <w:sz w:val="21"/>
                <w:szCs w:val="21"/>
              </w:rPr>
              <w:t>效益指标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实效指标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2020.1-2020.12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2020.1-2020.12</w:t>
            </w:r>
          </w:p>
        </w:tc>
      </w:tr>
      <w:tr>
        <w:tblPrEx>
          <w:tblCellMar>
            <w:top w:w="0" w:type="dxa"/>
            <w:left w:w="0" w:type="dxa"/>
            <w:bottom w:w="0" w:type="dxa"/>
            <w:right w:w="0" w:type="dxa"/>
          </w:tblCellMar>
        </w:tblPrEx>
        <w:trPr>
          <w:trHeight w:val="65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1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rPr>
            </w:pPr>
            <w:r>
              <w:rPr>
                <w:rFonts w:hint="eastAsia" w:ascii="方正仿宋简体" w:hAnsi="方正仿宋简体" w:eastAsia="方正仿宋简体" w:cs="方正仿宋简体"/>
                <w:b w:val="0"/>
                <w:bCs w:val="0"/>
                <w:color w:val="000000"/>
                <w:sz w:val="21"/>
                <w:szCs w:val="21"/>
              </w:rPr>
              <w:t>效益指标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成本指标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工作</w:t>
            </w:r>
            <w:r>
              <w:rPr>
                <w:rFonts w:hint="eastAsia" w:ascii="方正仿宋简体" w:hAnsi="方正仿宋简体" w:eastAsia="方正仿宋简体" w:cs="方正仿宋简体"/>
                <w:b w:val="0"/>
                <w:bCs w:val="0"/>
                <w:color w:val="000000"/>
                <w:sz w:val="21"/>
                <w:szCs w:val="21"/>
                <w:lang w:eastAsia="zh-CN"/>
              </w:rPr>
              <w:t>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r>
      <w:tr>
        <w:tblPrEx>
          <w:tblCellMar>
            <w:top w:w="0" w:type="dxa"/>
            <w:left w:w="0" w:type="dxa"/>
            <w:bottom w:w="0" w:type="dxa"/>
            <w:right w:w="0" w:type="dxa"/>
          </w:tblCellMar>
        </w:tblPrEx>
        <w:trPr>
          <w:trHeight w:val="81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1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效益指标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方正仿宋简体" w:hAnsi="方正仿宋简体" w:eastAsia="方正仿宋简体" w:cs="方正仿宋简体"/>
                <w:b w:val="0"/>
                <w:bCs w:val="0"/>
                <w:color w:val="000000"/>
                <w:sz w:val="21"/>
                <w:szCs w:val="21"/>
                <w:lang w:val="en-US" w:eastAsia="zh-CN"/>
              </w:rPr>
              <w:t>社会效益</w:t>
            </w:r>
            <w:r>
              <w:rPr>
                <w:rFonts w:hint="eastAsia" w:ascii="方正仿宋简体" w:hAnsi="方正仿宋简体" w:eastAsia="方正仿宋简体" w:cs="方正仿宋简体"/>
                <w:b w:val="0"/>
                <w:bCs w:val="0"/>
                <w:color w:val="000000"/>
                <w:sz w:val="21"/>
                <w:szCs w:val="21"/>
                <w:lang w:eastAsia="zh-CN"/>
              </w:rPr>
              <w:t>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不断提高市领导干部理论水平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提供干部理论水平，</w:t>
            </w:r>
            <w:r>
              <w:rPr>
                <w:rFonts w:hint="eastAsia" w:ascii="仿宋" w:hAnsi="仿宋" w:eastAsia="仿宋" w:cs="仿宋"/>
                <w:color w:val="000000"/>
                <w:sz w:val="21"/>
                <w:szCs w:val="21"/>
                <w:lang w:val="en-US" w:eastAsia="zh-CN"/>
              </w:rPr>
              <w:t>推动革命老区振兴发展</w:t>
            </w:r>
          </w:p>
        </w:tc>
      </w:tr>
      <w:tr>
        <w:tblPrEx>
          <w:tblCellMar>
            <w:top w:w="0" w:type="dxa"/>
            <w:left w:w="0" w:type="dxa"/>
            <w:bottom w:w="0" w:type="dxa"/>
            <w:right w:w="0" w:type="dxa"/>
          </w:tblCellMar>
        </w:tblPrEx>
        <w:trPr>
          <w:trHeight w:val="67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1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满意度指标</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方正仿宋简体" w:hAnsi="方正仿宋简体" w:eastAsia="方正仿宋简体" w:cs="方正仿宋简体"/>
                <w:b w:val="0"/>
                <w:bCs w:val="0"/>
                <w:color w:val="000000"/>
                <w:sz w:val="21"/>
                <w:szCs w:val="21"/>
                <w:lang w:eastAsia="zh-CN"/>
              </w:rPr>
              <w:t>满意度指标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中心组</w:t>
            </w:r>
            <w:r>
              <w:rPr>
                <w:rFonts w:hint="eastAsia" w:ascii="仿宋" w:hAnsi="仿宋" w:eastAsia="仿宋" w:cs="仿宋"/>
                <w:color w:val="000000"/>
                <w:sz w:val="21"/>
                <w:szCs w:val="21"/>
                <w:lang w:eastAsia="zh-CN"/>
              </w:rPr>
              <w:t>学习成员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大于95%</w:t>
            </w:r>
          </w:p>
        </w:tc>
      </w:tr>
    </w:tbl>
    <w:p>
      <w:pPr>
        <w:keepNext w:val="0"/>
        <w:keepLines w:val="0"/>
        <w:pageBreakBefore w:val="0"/>
        <w:kinsoku/>
        <w:wordWrap/>
        <w:overflowPunct/>
        <w:topLinePunct w:val="0"/>
        <w:autoSpaceDE/>
        <w:autoSpaceDN/>
        <w:bidi w:val="0"/>
        <w:adjustRightInd/>
        <w:snapToGrid/>
        <w:spacing w:line="300" w:lineRule="exact"/>
        <w:ind w:left="0"/>
        <w:jc w:val="both"/>
        <w:rPr>
          <w:rFonts w:hint="eastAsia" w:ascii="仿宋" w:hAnsi="仿宋" w:eastAsia="仿宋" w:cs="仿宋"/>
          <w:b w:val="0"/>
          <w:bCs w:val="0"/>
          <w:sz w:val="21"/>
          <w:szCs w:val="21"/>
        </w:rPr>
      </w:pPr>
    </w:p>
    <w:tbl>
      <w:tblPr>
        <w:tblStyle w:val="9"/>
        <w:tblpPr w:leftFromText="180" w:rightFromText="180" w:vertAnchor="page" w:horzAnchor="page" w:tblpX="1357" w:tblpY="1553"/>
        <w:tblOverlap w:val="never"/>
        <w:tblW w:w="9265" w:type="dxa"/>
        <w:tblInd w:w="0" w:type="dxa"/>
        <w:tblLayout w:type="fixed"/>
        <w:tblCellMar>
          <w:top w:w="0" w:type="dxa"/>
          <w:left w:w="0" w:type="dxa"/>
          <w:bottom w:w="0" w:type="dxa"/>
          <w:right w:w="0" w:type="dxa"/>
        </w:tblCellMar>
      </w:tblPr>
      <w:tblGrid>
        <w:gridCol w:w="608"/>
        <w:gridCol w:w="1275"/>
        <w:gridCol w:w="992"/>
        <w:gridCol w:w="1995"/>
        <w:gridCol w:w="2265"/>
        <w:gridCol w:w="2130"/>
      </w:tblGrid>
      <w:tr>
        <w:tblPrEx>
          <w:tblCellMar>
            <w:top w:w="0" w:type="dxa"/>
            <w:left w:w="0" w:type="dxa"/>
            <w:bottom w:w="0" w:type="dxa"/>
            <w:right w:w="0" w:type="dxa"/>
          </w:tblCellMar>
        </w:tblPrEx>
        <w:trPr>
          <w:trHeight w:val="1098" w:hRule="atLeast"/>
        </w:trPr>
        <w:tc>
          <w:tcPr>
            <w:tcW w:w="9265"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391" w:hRule="atLeast"/>
        </w:trPr>
        <w:tc>
          <w:tcPr>
            <w:tcW w:w="28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项目名称</w:t>
            </w:r>
          </w:p>
        </w:tc>
        <w:tc>
          <w:tcPr>
            <w:tcW w:w="63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巴文化研究院工作经费</w:t>
            </w:r>
          </w:p>
        </w:tc>
      </w:tr>
      <w:tr>
        <w:tblPrEx>
          <w:tblCellMar>
            <w:top w:w="0" w:type="dxa"/>
            <w:left w:w="0" w:type="dxa"/>
            <w:bottom w:w="0" w:type="dxa"/>
            <w:right w:w="0" w:type="dxa"/>
          </w:tblCellMar>
        </w:tblPrEx>
        <w:trPr>
          <w:trHeight w:val="391" w:hRule="atLeast"/>
        </w:trPr>
        <w:tc>
          <w:tcPr>
            <w:tcW w:w="28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预算单位</w:t>
            </w:r>
          </w:p>
        </w:tc>
        <w:tc>
          <w:tcPr>
            <w:tcW w:w="63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市委宣传部</w:t>
            </w:r>
          </w:p>
        </w:tc>
      </w:tr>
      <w:tr>
        <w:tblPrEx>
          <w:tblCellMar>
            <w:top w:w="0" w:type="dxa"/>
            <w:left w:w="0" w:type="dxa"/>
            <w:bottom w:w="0" w:type="dxa"/>
            <w:right w:w="0" w:type="dxa"/>
          </w:tblCellMar>
        </w:tblPrEx>
        <w:trPr>
          <w:trHeight w:val="391"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预算执行情况(万元)</w:t>
            </w:r>
          </w:p>
        </w:tc>
        <w:tc>
          <w:tcPr>
            <w:tcW w:w="22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预算数:</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9万元</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执行数:</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9万元</w:t>
            </w:r>
          </w:p>
        </w:tc>
      </w:tr>
      <w:tr>
        <w:tblPrEx>
          <w:tblCellMar>
            <w:top w:w="0" w:type="dxa"/>
            <w:left w:w="0" w:type="dxa"/>
            <w:bottom w:w="0" w:type="dxa"/>
            <w:right w:w="0" w:type="dxa"/>
          </w:tblCellMar>
        </w:tblPrEx>
        <w:trPr>
          <w:trHeight w:val="39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p>
        </w:tc>
        <w:tc>
          <w:tcPr>
            <w:tcW w:w="22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其中-财政拨款:</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9万元</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其中-财政拨款:</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9万元</w:t>
            </w:r>
          </w:p>
        </w:tc>
      </w:tr>
      <w:tr>
        <w:tblPrEx>
          <w:tblCellMar>
            <w:top w:w="0" w:type="dxa"/>
            <w:left w:w="0" w:type="dxa"/>
            <w:bottom w:w="0" w:type="dxa"/>
            <w:right w:w="0" w:type="dxa"/>
          </w:tblCellMar>
        </w:tblPrEx>
        <w:trPr>
          <w:trHeight w:val="151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p>
        </w:tc>
        <w:tc>
          <w:tcPr>
            <w:tcW w:w="22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其它资金:</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0</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其它资金:</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0</w:t>
            </w:r>
          </w:p>
        </w:tc>
      </w:tr>
      <w:tr>
        <w:tblPrEx>
          <w:tblCellMar>
            <w:top w:w="0" w:type="dxa"/>
            <w:left w:w="0" w:type="dxa"/>
            <w:bottom w:w="0" w:type="dxa"/>
            <w:right w:w="0" w:type="dxa"/>
          </w:tblCellMar>
        </w:tblPrEx>
        <w:trPr>
          <w:trHeight w:val="485"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年度目标完成情况</w:t>
            </w:r>
          </w:p>
        </w:tc>
        <w:tc>
          <w:tcPr>
            <w:tcW w:w="42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预期目标</w:t>
            </w:r>
          </w:p>
        </w:tc>
        <w:tc>
          <w:tcPr>
            <w:tcW w:w="4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实际完成目标</w:t>
            </w:r>
          </w:p>
        </w:tc>
      </w:tr>
      <w:tr>
        <w:tblPrEx>
          <w:tblCellMar>
            <w:top w:w="0" w:type="dxa"/>
            <w:left w:w="0" w:type="dxa"/>
            <w:bottom w:w="0" w:type="dxa"/>
            <w:right w:w="0" w:type="dxa"/>
          </w:tblCellMar>
        </w:tblPrEx>
        <w:trPr>
          <w:trHeight w:val="1159"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p>
        </w:tc>
        <w:tc>
          <w:tcPr>
            <w:tcW w:w="42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2020年度</w:t>
            </w:r>
            <w:r>
              <w:rPr>
                <w:rFonts w:hint="eastAsia" w:ascii="方正仿宋简体" w:hAnsi="方正仿宋简体" w:eastAsia="方正仿宋简体" w:cs="方正仿宋简体"/>
                <w:b w:val="0"/>
                <w:bCs w:val="0"/>
                <w:color w:val="000000"/>
                <w:sz w:val="21"/>
                <w:szCs w:val="21"/>
                <w:lang w:eastAsia="zh-CN"/>
              </w:rPr>
              <w:t>完成</w:t>
            </w:r>
            <w:r>
              <w:rPr>
                <w:rFonts w:hint="eastAsia" w:ascii="方正仿宋简体" w:hAnsi="方正仿宋简体" w:eastAsia="方正仿宋简体" w:cs="方正仿宋简体"/>
                <w:b w:val="0"/>
                <w:bCs w:val="0"/>
                <w:color w:val="000000"/>
                <w:sz w:val="21"/>
                <w:szCs w:val="21"/>
                <w:lang w:val="en-US" w:eastAsia="zh-CN"/>
              </w:rPr>
              <w:t>8个课题立项，深入推动</w:t>
            </w:r>
            <w:r>
              <w:rPr>
                <w:rFonts w:hint="eastAsia" w:ascii="方正仿宋简体" w:hAnsi="方正仿宋简体" w:eastAsia="方正仿宋简体" w:cs="方正仿宋简体"/>
                <w:b w:val="0"/>
                <w:bCs w:val="0"/>
                <w:color w:val="000000"/>
                <w:sz w:val="21"/>
                <w:szCs w:val="21"/>
                <w:lang w:eastAsia="zh-CN"/>
              </w:rPr>
              <w:t>巴文化</w:t>
            </w:r>
            <w:r>
              <w:rPr>
                <w:rFonts w:hint="eastAsia" w:ascii="方正仿宋简体" w:hAnsi="方正仿宋简体" w:eastAsia="方正仿宋简体" w:cs="方正仿宋简体"/>
                <w:b w:val="0"/>
                <w:bCs w:val="0"/>
                <w:color w:val="000000"/>
                <w:sz w:val="21"/>
                <w:szCs w:val="21"/>
                <w:lang w:val="en" w:eastAsia="zh-CN"/>
              </w:rPr>
              <w:t>研究，</w:t>
            </w:r>
            <w:r>
              <w:rPr>
                <w:rFonts w:hint="eastAsia" w:ascii="方正仿宋简体" w:hAnsi="方正仿宋简体" w:eastAsia="方正仿宋简体" w:cs="方正仿宋简体"/>
                <w:b w:val="0"/>
                <w:bCs w:val="0"/>
                <w:color w:val="000000"/>
                <w:sz w:val="21"/>
                <w:szCs w:val="21"/>
                <w:lang w:val="en-US" w:eastAsia="zh-CN"/>
              </w:rPr>
              <w:t>加大巴文化宣传普及</w:t>
            </w:r>
            <w:r>
              <w:rPr>
                <w:rFonts w:hint="eastAsia" w:ascii="方正仿宋简体" w:hAnsi="方正仿宋简体" w:eastAsia="方正仿宋简体" w:cs="方正仿宋简体"/>
                <w:b w:val="0"/>
                <w:bCs w:val="0"/>
                <w:color w:val="000000"/>
                <w:sz w:val="21"/>
                <w:szCs w:val="21"/>
                <w:lang w:eastAsia="zh-CN"/>
              </w:rPr>
              <w:t>。</w:t>
            </w:r>
          </w:p>
        </w:tc>
        <w:tc>
          <w:tcPr>
            <w:tcW w:w="4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完成巴文化课题征集，立项课题11个，</w:t>
            </w:r>
            <w:r>
              <w:rPr>
                <w:rFonts w:hint="eastAsia" w:ascii="方正仿宋简体" w:hAnsi="方正仿宋简体" w:eastAsia="方正仿宋简体" w:cs="方正仿宋简体"/>
                <w:b w:val="0"/>
                <w:bCs w:val="0"/>
                <w:color w:val="000000"/>
                <w:sz w:val="21"/>
                <w:szCs w:val="21"/>
                <w:lang w:val="en-US" w:eastAsia="zh-CN"/>
              </w:rPr>
              <w:t>全面</w:t>
            </w:r>
            <w:r>
              <w:rPr>
                <w:rFonts w:hint="default" w:ascii="方正仿宋简体" w:hAnsi="方正仿宋简体" w:eastAsia="方正仿宋简体" w:cs="方正仿宋简体"/>
                <w:b w:val="0"/>
                <w:bCs w:val="0"/>
                <w:color w:val="000000"/>
                <w:sz w:val="21"/>
                <w:szCs w:val="21"/>
                <w:lang w:eastAsia="zh-CN"/>
              </w:rPr>
              <w:t>有序推进</w:t>
            </w:r>
            <w:r>
              <w:rPr>
                <w:rFonts w:hint="eastAsia" w:ascii="方正仿宋简体" w:hAnsi="方正仿宋简体" w:eastAsia="方正仿宋简体" w:cs="方正仿宋简体"/>
                <w:b w:val="0"/>
                <w:bCs w:val="0"/>
                <w:color w:val="000000"/>
                <w:sz w:val="21"/>
                <w:szCs w:val="21"/>
                <w:lang w:val="en-US" w:eastAsia="zh-CN"/>
              </w:rPr>
              <w:t>巴文化研究普及</w:t>
            </w:r>
            <w:r>
              <w:rPr>
                <w:rFonts w:hint="default" w:ascii="方正仿宋简体" w:hAnsi="方正仿宋简体" w:eastAsia="方正仿宋简体" w:cs="方正仿宋简体"/>
                <w:b w:val="0"/>
                <w:bCs w:val="0"/>
                <w:color w:val="000000"/>
                <w:sz w:val="21"/>
                <w:szCs w:val="21"/>
                <w:lang w:eastAsia="zh-CN"/>
              </w:rPr>
              <w:t>工作。</w:t>
            </w:r>
          </w:p>
        </w:tc>
      </w:tr>
      <w:tr>
        <w:tblPrEx>
          <w:tblCellMar>
            <w:top w:w="0" w:type="dxa"/>
            <w:left w:w="0" w:type="dxa"/>
            <w:bottom w:w="0" w:type="dxa"/>
            <w:right w:w="0" w:type="dxa"/>
          </w:tblCellMar>
        </w:tblPrEx>
        <w:trPr>
          <w:trHeight w:val="997" w:hRule="atLeast"/>
        </w:trPr>
        <w:tc>
          <w:tcPr>
            <w:tcW w:w="60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绩效指标完成情况</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一级指标</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二级指标</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三级指标</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预期指标值(包含数字及文字描述)</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实际完成指标值(包含数字及文字描述)</w:t>
            </w:r>
          </w:p>
        </w:tc>
      </w:tr>
      <w:tr>
        <w:tblPrEx>
          <w:tblCellMar>
            <w:top w:w="0" w:type="dxa"/>
            <w:left w:w="0" w:type="dxa"/>
            <w:bottom w:w="0" w:type="dxa"/>
            <w:right w:w="0" w:type="dxa"/>
          </w:tblCellMar>
        </w:tblPrEx>
        <w:trPr>
          <w:trHeight w:val="692"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项目完成指标</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数量指标</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巴文化研究课题</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val="en-US" w:eastAsia="zh-CN"/>
              </w:rPr>
              <w:t>征集立项</w:t>
            </w:r>
            <w:r>
              <w:rPr>
                <w:rFonts w:hint="eastAsia" w:ascii="方正仿宋简体" w:hAnsi="方正仿宋简体" w:eastAsia="方正仿宋简体" w:cs="方正仿宋简体"/>
                <w:b w:val="0"/>
                <w:bCs w:val="0"/>
                <w:color w:val="000000"/>
                <w:sz w:val="21"/>
                <w:szCs w:val="21"/>
                <w:lang w:val="en" w:eastAsia="zh-CN"/>
              </w:rPr>
              <w:t>8个</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完成立项</w:t>
            </w:r>
            <w:r>
              <w:rPr>
                <w:rFonts w:hint="eastAsia" w:ascii="方正仿宋简体" w:hAnsi="方正仿宋简体" w:eastAsia="方正仿宋简体" w:cs="方正仿宋简体"/>
                <w:b w:val="0"/>
                <w:bCs w:val="0"/>
                <w:color w:val="000000"/>
                <w:sz w:val="21"/>
                <w:szCs w:val="21"/>
                <w:lang w:val="en" w:eastAsia="zh-CN"/>
              </w:rPr>
              <w:t>11个</w:t>
            </w:r>
          </w:p>
        </w:tc>
      </w:tr>
      <w:tr>
        <w:tblPrEx>
          <w:tblCellMar>
            <w:top w:w="0" w:type="dxa"/>
            <w:left w:w="0" w:type="dxa"/>
            <w:bottom w:w="0" w:type="dxa"/>
            <w:right w:w="0" w:type="dxa"/>
          </w:tblCellMar>
        </w:tblPrEx>
        <w:trPr>
          <w:trHeight w:val="827"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val="en-US" w:eastAsia="zh-CN" w:bidi="ar-SA"/>
              </w:rPr>
            </w:pPr>
            <w:r>
              <w:rPr>
                <w:rFonts w:hint="eastAsia" w:ascii="方正仿宋简体" w:hAnsi="方正仿宋简体" w:eastAsia="方正仿宋简体" w:cs="方正仿宋简体"/>
                <w:b w:val="0"/>
                <w:bCs w:val="0"/>
                <w:color w:val="000000"/>
                <w:sz w:val="21"/>
                <w:szCs w:val="21"/>
              </w:rPr>
              <w:t>效益指标</w:t>
            </w:r>
          </w:p>
        </w:tc>
        <w:tc>
          <w:tcPr>
            <w:tcW w:w="9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实效指标</w:t>
            </w:r>
          </w:p>
        </w:tc>
        <w:tc>
          <w:tcPr>
            <w:tcW w:w="19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完成时间</w:t>
            </w:r>
          </w:p>
        </w:tc>
        <w:tc>
          <w:tcPr>
            <w:tcW w:w="22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2020.1-2020.12</w:t>
            </w:r>
          </w:p>
        </w:tc>
        <w:tc>
          <w:tcPr>
            <w:tcW w:w="21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2020.1-2020.12</w:t>
            </w:r>
          </w:p>
        </w:tc>
      </w:tr>
      <w:tr>
        <w:tblPrEx>
          <w:tblCellMar>
            <w:top w:w="0" w:type="dxa"/>
            <w:left w:w="0" w:type="dxa"/>
            <w:bottom w:w="0" w:type="dxa"/>
            <w:right w:w="0" w:type="dxa"/>
          </w:tblCellMar>
        </w:tblPrEx>
        <w:trPr>
          <w:trHeight w:val="715"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pPr>
          </w:p>
        </w:tc>
        <w:tc>
          <w:tcPr>
            <w:tcW w:w="127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val="en-US" w:eastAsia="zh-CN" w:bidi="ar-SA"/>
              </w:rPr>
            </w:pPr>
            <w:r>
              <w:rPr>
                <w:rFonts w:hint="eastAsia" w:ascii="方正仿宋简体" w:hAnsi="方正仿宋简体" w:eastAsia="方正仿宋简体" w:cs="方正仿宋简体"/>
                <w:b w:val="0"/>
                <w:bCs w:val="0"/>
                <w:color w:val="000000"/>
                <w:sz w:val="21"/>
                <w:szCs w:val="21"/>
              </w:rPr>
              <w:t>效益指标</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成本指标</w:t>
            </w:r>
          </w:p>
        </w:tc>
        <w:tc>
          <w:tcPr>
            <w:tcW w:w="1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工作</w:t>
            </w:r>
            <w:r>
              <w:rPr>
                <w:rFonts w:hint="eastAsia" w:ascii="方正仿宋简体" w:hAnsi="方正仿宋简体" w:eastAsia="方正仿宋简体" w:cs="方正仿宋简体"/>
                <w:b w:val="0"/>
                <w:bCs w:val="0"/>
                <w:color w:val="000000"/>
                <w:sz w:val="21"/>
                <w:szCs w:val="21"/>
                <w:lang w:eastAsia="zh-CN"/>
              </w:rPr>
              <w:t>经费</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9</w:t>
            </w:r>
          </w:p>
        </w:tc>
        <w:tc>
          <w:tcPr>
            <w:tcW w:w="2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9</w:t>
            </w:r>
          </w:p>
        </w:tc>
      </w:tr>
      <w:tr>
        <w:tblPrEx>
          <w:tblCellMar>
            <w:top w:w="0" w:type="dxa"/>
            <w:left w:w="0" w:type="dxa"/>
            <w:bottom w:w="0" w:type="dxa"/>
            <w:right w:w="0" w:type="dxa"/>
          </w:tblCellMar>
        </w:tblPrEx>
        <w:trPr>
          <w:trHeight w:val="605"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pPr>
          </w:p>
        </w:tc>
        <w:tc>
          <w:tcPr>
            <w:tcW w:w="127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效益指标</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社会效益</w:t>
            </w:r>
          </w:p>
        </w:tc>
        <w:tc>
          <w:tcPr>
            <w:tcW w:w="19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课题研究</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宣传好巴中历史文化</w:t>
            </w:r>
          </w:p>
        </w:tc>
        <w:tc>
          <w:tcPr>
            <w:tcW w:w="2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进一步挖掘了巴中现存</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历史名迹，很好地宣传了巴中历史文化</w:t>
            </w:r>
          </w:p>
        </w:tc>
      </w:tr>
      <w:tr>
        <w:tblPrEx>
          <w:tblCellMar>
            <w:top w:w="0" w:type="dxa"/>
            <w:left w:w="0" w:type="dxa"/>
            <w:bottom w:w="0" w:type="dxa"/>
            <w:right w:w="0" w:type="dxa"/>
          </w:tblCellMar>
        </w:tblPrEx>
        <w:trPr>
          <w:trHeight w:val="1115" w:hRule="atLeast"/>
        </w:trPr>
        <w:tc>
          <w:tcPr>
            <w:tcW w:w="60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满意度指标</w:t>
            </w:r>
          </w:p>
        </w:tc>
        <w:tc>
          <w:tcPr>
            <w:tcW w:w="99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服务对象</w:t>
            </w:r>
          </w:p>
        </w:tc>
        <w:tc>
          <w:tcPr>
            <w:tcW w:w="19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课题研究</w:t>
            </w:r>
          </w:p>
        </w:tc>
        <w:tc>
          <w:tcPr>
            <w:tcW w:w="226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社会认知度≥</w:t>
            </w:r>
            <w:r>
              <w:rPr>
                <w:rFonts w:hint="default" w:ascii="方正仿宋简体" w:hAnsi="方正仿宋简体" w:eastAsia="方正仿宋简体" w:cs="方正仿宋简体"/>
                <w:b w:val="0"/>
                <w:bCs w:val="0"/>
                <w:color w:val="000000"/>
                <w:sz w:val="21"/>
                <w:szCs w:val="21"/>
                <w:lang w:eastAsia="zh-CN"/>
              </w:rPr>
              <w:t>100%</w:t>
            </w:r>
          </w:p>
        </w:tc>
        <w:tc>
          <w:tcPr>
            <w:tcW w:w="21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搭建了巴文化研交平台，提高了巴中巴文化研究社会认知度</w:t>
            </w:r>
            <w:r>
              <w:rPr>
                <w:rFonts w:hint="default" w:ascii="方正仿宋简体" w:hAnsi="方正仿宋简体" w:eastAsia="方正仿宋简体" w:cs="方正仿宋简体"/>
                <w:b w:val="0"/>
                <w:bCs w:val="0"/>
                <w:color w:val="000000"/>
                <w:sz w:val="21"/>
                <w:szCs w:val="21"/>
                <w:lang w:eastAsia="zh-CN"/>
              </w:rPr>
              <w:t>。</w:t>
            </w:r>
          </w:p>
        </w:tc>
      </w:tr>
    </w:tbl>
    <w:p/>
    <w:p>
      <w:pPr>
        <w:pStyle w:val="2"/>
      </w:pPr>
    </w:p>
    <w:p>
      <w:pPr>
        <w:pStyle w:val="2"/>
      </w:pPr>
    </w:p>
    <w:p>
      <w:pPr>
        <w:pStyle w:val="2"/>
      </w:pPr>
    </w:p>
    <w:p>
      <w:pPr>
        <w:pStyle w:val="2"/>
      </w:pPr>
    </w:p>
    <w:tbl>
      <w:tblPr>
        <w:tblStyle w:val="9"/>
        <w:tblpPr w:leftFromText="180" w:rightFromText="180" w:vertAnchor="page" w:horzAnchor="page" w:tblpX="1357" w:tblpY="1553"/>
        <w:tblOverlap w:val="never"/>
        <w:tblW w:w="9265" w:type="dxa"/>
        <w:tblInd w:w="0" w:type="dxa"/>
        <w:tblLayout w:type="fixed"/>
        <w:tblCellMar>
          <w:top w:w="0" w:type="dxa"/>
          <w:left w:w="0" w:type="dxa"/>
          <w:bottom w:w="0" w:type="dxa"/>
          <w:right w:w="0" w:type="dxa"/>
        </w:tblCellMar>
      </w:tblPr>
      <w:tblGrid>
        <w:gridCol w:w="608"/>
        <w:gridCol w:w="1446"/>
        <w:gridCol w:w="954"/>
        <w:gridCol w:w="1862"/>
        <w:gridCol w:w="2265"/>
        <w:gridCol w:w="2130"/>
      </w:tblGrid>
      <w:tr>
        <w:tblPrEx>
          <w:tblCellMar>
            <w:top w:w="0" w:type="dxa"/>
            <w:left w:w="0" w:type="dxa"/>
            <w:bottom w:w="0" w:type="dxa"/>
            <w:right w:w="0" w:type="dxa"/>
          </w:tblCellMar>
        </w:tblPrEx>
        <w:trPr>
          <w:trHeight w:val="1098" w:hRule="atLeast"/>
        </w:trPr>
        <w:tc>
          <w:tcPr>
            <w:tcW w:w="9265"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391" w:hRule="atLeast"/>
        </w:trPr>
        <w:tc>
          <w:tcPr>
            <w:tcW w:w="300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项目名称</w:t>
            </w:r>
          </w:p>
        </w:tc>
        <w:tc>
          <w:tcPr>
            <w:tcW w:w="62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社会主义核心价值观教育经费</w:t>
            </w:r>
          </w:p>
        </w:tc>
      </w:tr>
      <w:tr>
        <w:tblPrEx>
          <w:tblCellMar>
            <w:top w:w="0" w:type="dxa"/>
            <w:left w:w="0" w:type="dxa"/>
            <w:bottom w:w="0" w:type="dxa"/>
            <w:right w:w="0" w:type="dxa"/>
          </w:tblCellMar>
        </w:tblPrEx>
        <w:trPr>
          <w:trHeight w:val="391" w:hRule="atLeast"/>
        </w:trPr>
        <w:tc>
          <w:tcPr>
            <w:tcW w:w="300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预算单位</w:t>
            </w:r>
          </w:p>
        </w:tc>
        <w:tc>
          <w:tcPr>
            <w:tcW w:w="62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市委宣传部</w:t>
            </w:r>
          </w:p>
        </w:tc>
      </w:tr>
      <w:tr>
        <w:tblPrEx>
          <w:tblCellMar>
            <w:top w:w="0" w:type="dxa"/>
            <w:left w:w="0" w:type="dxa"/>
            <w:bottom w:w="0" w:type="dxa"/>
            <w:right w:w="0" w:type="dxa"/>
          </w:tblCellMar>
        </w:tblPrEx>
        <w:trPr>
          <w:trHeight w:val="391"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预算执行情况(万元)</w:t>
            </w:r>
          </w:p>
        </w:tc>
        <w:tc>
          <w:tcPr>
            <w:tcW w:w="24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预算数:</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val="en-US" w:eastAsia="zh-CN"/>
              </w:rPr>
              <w:t>5</w:t>
            </w:r>
            <w:r>
              <w:rPr>
                <w:rFonts w:hint="default" w:ascii="方正仿宋简体" w:hAnsi="方正仿宋简体" w:eastAsia="方正仿宋简体" w:cs="方正仿宋简体"/>
                <w:b w:val="0"/>
                <w:bCs w:val="0"/>
                <w:color w:val="000000"/>
                <w:sz w:val="21"/>
                <w:szCs w:val="21"/>
                <w:lang w:eastAsia="zh-CN"/>
              </w:rPr>
              <w:t>万元</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执行数:</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val="en-US" w:eastAsia="zh-CN"/>
              </w:rPr>
              <w:t>5</w:t>
            </w:r>
            <w:r>
              <w:rPr>
                <w:rFonts w:hint="default" w:ascii="方正仿宋简体" w:hAnsi="方正仿宋简体" w:eastAsia="方正仿宋简体" w:cs="方正仿宋简体"/>
                <w:b w:val="0"/>
                <w:bCs w:val="0"/>
                <w:color w:val="000000"/>
                <w:sz w:val="21"/>
                <w:szCs w:val="21"/>
                <w:lang w:eastAsia="zh-CN"/>
              </w:rPr>
              <w:t>万元</w:t>
            </w:r>
          </w:p>
        </w:tc>
      </w:tr>
      <w:tr>
        <w:tblPrEx>
          <w:tblCellMar>
            <w:top w:w="0" w:type="dxa"/>
            <w:left w:w="0" w:type="dxa"/>
            <w:bottom w:w="0" w:type="dxa"/>
            <w:right w:w="0" w:type="dxa"/>
          </w:tblCellMar>
        </w:tblPrEx>
        <w:trPr>
          <w:trHeight w:val="39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p>
        </w:tc>
        <w:tc>
          <w:tcPr>
            <w:tcW w:w="24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其中-财政拨款:</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9万元</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其中-财政拨款:</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val="en-US" w:eastAsia="zh-CN"/>
              </w:rPr>
              <w:t>5</w:t>
            </w:r>
            <w:r>
              <w:rPr>
                <w:rFonts w:hint="default" w:ascii="方正仿宋简体" w:hAnsi="方正仿宋简体" w:eastAsia="方正仿宋简体" w:cs="方正仿宋简体"/>
                <w:b w:val="0"/>
                <w:bCs w:val="0"/>
                <w:color w:val="000000"/>
                <w:sz w:val="21"/>
                <w:szCs w:val="21"/>
                <w:lang w:eastAsia="zh-CN"/>
              </w:rPr>
              <w:t>万元</w:t>
            </w:r>
          </w:p>
        </w:tc>
      </w:tr>
      <w:tr>
        <w:tblPrEx>
          <w:tblCellMar>
            <w:top w:w="0" w:type="dxa"/>
            <w:left w:w="0" w:type="dxa"/>
            <w:bottom w:w="0" w:type="dxa"/>
            <w:right w:w="0" w:type="dxa"/>
          </w:tblCellMar>
        </w:tblPrEx>
        <w:trPr>
          <w:trHeight w:val="1511"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p>
        </w:tc>
        <w:tc>
          <w:tcPr>
            <w:tcW w:w="24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其它资金:</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0</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其它资金:</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0</w:t>
            </w:r>
          </w:p>
        </w:tc>
      </w:tr>
      <w:tr>
        <w:tblPrEx>
          <w:tblCellMar>
            <w:top w:w="0" w:type="dxa"/>
            <w:left w:w="0" w:type="dxa"/>
            <w:bottom w:w="0" w:type="dxa"/>
            <w:right w:w="0" w:type="dxa"/>
          </w:tblCellMar>
        </w:tblPrEx>
        <w:trPr>
          <w:trHeight w:val="485" w:hRule="atLeast"/>
        </w:trPr>
        <w:tc>
          <w:tcPr>
            <w:tcW w:w="6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年度目标完成情况</w:t>
            </w:r>
          </w:p>
        </w:tc>
        <w:tc>
          <w:tcPr>
            <w:tcW w:w="42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预期目标</w:t>
            </w:r>
          </w:p>
        </w:tc>
        <w:tc>
          <w:tcPr>
            <w:tcW w:w="4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实际完成目标</w:t>
            </w:r>
          </w:p>
        </w:tc>
      </w:tr>
      <w:tr>
        <w:tblPrEx>
          <w:tblCellMar>
            <w:top w:w="0" w:type="dxa"/>
            <w:left w:w="0" w:type="dxa"/>
            <w:bottom w:w="0" w:type="dxa"/>
            <w:right w:w="0" w:type="dxa"/>
          </w:tblCellMar>
        </w:tblPrEx>
        <w:trPr>
          <w:trHeight w:val="1159" w:hRule="atLeast"/>
        </w:trPr>
        <w:tc>
          <w:tcPr>
            <w:tcW w:w="6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p>
        </w:tc>
        <w:tc>
          <w:tcPr>
            <w:tcW w:w="42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加强社会主义核心价值观示范点建设，加大典型培树宣传，推进《巴中市贯彻落实〈新时代爱国主义教育实施纲要〉举措》落地落实，更好构筑中国精神、中国价值、中国力量，为加快建设“三市两地一枢纽”、开启全面建设社会主义现代化巴中新征程提供精神动力</w:t>
            </w:r>
          </w:p>
        </w:tc>
        <w:tc>
          <w:tcPr>
            <w:tcW w:w="4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《红旗漫卷大巴山》展陈入选庆祝中国共产党成立100周年精品展览推介名单，6个红色景区景点入选“建党百年红色旅游百条精品线路”</w:t>
            </w:r>
            <w:r>
              <w:rPr>
                <w:rFonts w:hint="eastAsia" w:ascii="方正仿宋简体" w:hAnsi="方正仿宋简体" w:eastAsia="方正仿宋简体" w:cs="方正仿宋简体"/>
                <w:b w:val="0"/>
                <w:bCs w:val="0"/>
                <w:color w:val="000000"/>
                <w:sz w:val="21"/>
                <w:szCs w:val="21"/>
                <w:lang w:eastAsia="zh-CN"/>
              </w:rPr>
              <w:t>，</w:t>
            </w:r>
            <w:r>
              <w:rPr>
                <w:rFonts w:hint="default" w:ascii="方正仿宋简体" w:hAnsi="方正仿宋简体" w:eastAsia="方正仿宋简体" w:cs="方正仿宋简体"/>
                <w:b w:val="0"/>
                <w:bCs w:val="0"/>
                <w:color w:val="000000"/>
                <w:sz w:val="21"/>
                <w:szCs w:val="21"/>
                <w:lang w:eastAsia="zh-CN"/>
              </w:rPr>
              <w:t>开展主题教育活动1000余场次</w:t>
            </w:r>
            <w:r>
              <w:rPr>
                <w:rFonts w:hint="eastAsia" w:ascii="方正仿宋简体" w:hAnsi="方正仿宋简体" w:eastAsia="方正仿宋简体" w:cs="方正仿宋简体"/>
                <w:b w:val="0"/>
                <w:bCs w:val="0"/>
                <w:color w:val="000000"/>
                <w:sz w:val="21"/>
                <w:szCs w:val="21"/>
                <w:lang w:eastAsia="zh-CN"/>
              </w:rPr>
              <w:t>，开展主题志愿服务活动2万余场次，举办“党史我来讲，红色照我心”等主题演讲、微视频展播等活动，推动社会主义核心价值观教育落地生根。</w:t>
            </w:r>
          </w:p>
        </w:tc>
      </w:tr>
      <w:tr>
        <w:tblPrEx>
          <w:tblCellMar>
            <w:top w:w="0" w:type="dxa"/>
            <w:left w:w="0" w:type="dxa"/>
            <w:bottom w:w="0" w:type="dxa"/>
            <w:right w:w="0" w:type="dxa"/>
          </w:tblCellMar>
        </w:tblPrEx>
        <w:trPr>
          <w:trHeight w:val="997" w:hRule="atLeast"/>
        </w:trPr>
        <w:tc>
          <w:tcPr>
            <w:tcW w:w="60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绩效指标完成情况</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一级指标</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二级指标</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三级指标</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预期指标值(包含数字及文字描述)</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实际完成指标值(包含数字及文字描述)</w:t>
            </w:r>
          </w:p>
        </w:tc>
      </w:tr>
      <w:tr>
        <w:tblPrEx>
          <w:tblCellMar>
            <w:top w:w="0" w:type="dxa"/>
            <w:left w:w="0" w:type="dxa"/>
            <w:bottom w:w="0" w:type="dxa"/>
            <w:right w:w="0" w:type="dxa"/>
          </w:tblCellMar>
        </w:tblPrEx>
        <w:trPr>
          <w:trHeight w:val="608"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项目完成指标</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数量指标</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default" w:ascii="方正仿宋简体" w:hAnsi="方正仿宋简体" w:eastAsia="方正仿宋简体" w:cs="方正仿宋简体"/>
                <w:b w:val="0"/>
                <w:bCs w:val="0"/>
                <w:color w:val="000000"/>
                <w:sz w:val="21"/>
                <w:szCs w:val="21"/>
                <w:lang w:eastAsia="zh-CN"/>
              </w:rPr>
              <w:t>开展主题教育活动</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500场次</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center"/>
              <w:rPr>
                <w:rFonts w:hint="default" w:ascii="方正仿宋简体" w:hAnsi="方正仿宋简体" w:eastAsia="方正仿宋简体" w:cs="方正仿宋简体"/>
                <w:b w:val="0"/>
                <w:bCs w:val="0"/>
                <w:color w:val="000000"/>
                <w:sz w:val="21"/>
                <w:szCs w:val="21"/>
                <w:lang w:val="en-US" w:eastAsia="zh-CN"/>
              </w:rPr>
            </w:pPr>
            <w:r>
              <w:rPr>
                <w:rFonts w:hint="eastAsia" w:ascii="方正仿宋简体" w:hAnsi="方正仿宋简体" w:eastAsia="方正仿宋简体" w:cs="方正仿宋简体"/>
                <w:b w:val="0"/>
                <w:bCs w:val="0"/>
                <w:color w:val="000000"/>
                <w:sz w:val="21"/>
                <w:szCs w:val="21"/>
                <w:lang w:val="en-US" w:eastAsia="zh-CN"/>
              </w:rPr>
              <w:t>1000余场次</w:t>
            </w:r>
          </w:p>
        </w:tc>
      </w:tr>
      <w:tr>
        <w:tblPrEx>
          <w:tblCellMar>
            <w:top w:w="0" w:type="dxa"/>
            <w:left w:w="0" w:type="dxa"/>
            <w:bottom w:w="0" w:type="dxa"/>
            <w:right w:w="0" w:type="dxa"/>
          </w:tblCellMar>
        </w:tblPrEx>
        <w:trPr>
          <w:trHeight w:val="563"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val="en-US" w:eastAsia="zh-CN" w:bidi="ar-SA"/>
              </w:rPr>
            </w:pPr>
            <w:r>
              <w:rPr>
                <w:rFonts w:hint="eastAsia" w:ascii="方正仿宋简体" w:hAnsi="方正仿宋简体" w:eastAsia="方正仿宋简体" w:cs="方正仿宋简体"/>
                <w:b w:val="0"/>
                <w:bCs w:val="0"/>
                <w:color w:val="000000"/>
                <w:sz w:val="21"/>
                <w:szCs w:val="21"/>
              </w:rPr>
              <w:t>效益指标</w:t>
            </w:r>
          </w:p>
        </w:tc>
        <w:tc>
          <w:tcPr>
            <w:tcW w:w="9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实效指标</w:t>
            </w:r>
          </w:p>
        </w:tc>
        <w:tc>
          <w:tcPr>
            <w:tcW w:w="18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完成时间</w:t>
            </w:r>
          </w:p>
        </w:tc>
        <w:tc>
          <w:tcPr>
            <w:tcW w:w="22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2020.1-2020.12</w:t>
            </w:r>
          </w:p>
        </w:tc>
        <w:tc>
          <w:tcPr>
            <w:tcW w:w="21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2020.1-2020.12</w:t>
            </w:r>
          </w:p>
        </w:tc>
      </w:tr>
      <w:tr>
        <w:tblPrEx>
          <w:tblCellMar>
            <w:top w:w="0" w:type="dxa"/>
            <w:left w:w="0" w:type="dxa"/>
            <w:bottom w:w="0" w:type="dxa"/>
            <w:right w:w="0" w:type="dxa"/>
          </w:tblCellMar>
        </w:tblPrEx>
        <w:trPr>
          <w:trHeight w:val="519"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pPr>
          </w:p>
        </w:tc>
        <w:tc>
          <w:tcPr>
            <w:tcW w:w="144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val="en-US" w:eastAsia="zh-CN" w:bidi="ar-SA"/>
              </w:rPr>
            </w:pPr>
            <w:r>
              <w:rPr>
                <w:rFonts w:hint="eastAsia" w:ascii="方正仿宋简体" w:hAnsi="方正仿宋简体" w:eastAsia="方正仿宋简体" w:cs="方正仿宋简体"/>
                <w:b w:val="0"/>
                <w:bCs w:val="0"/>
                <w:color w:val="000000"/>
                <w:sz w:val="21"/>
                <w:szCs w:val="21"/>
              </w:rPr>
              <w:t>效益指标</w:t>
            </w:r>
          </w:p>
        </w:tc>
        <w:tc>
          <w:tcPr>
            <w:tcW w:w="9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成本指标</w:t>
            </w:r>
          </w:p>
        </w:tc>
        <w:tc>
          <w:tcPr>
            <w:tcW w:w="18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val="en-US" w:eastAsia="zh-CN"/>
              </w:rPr>
              <w:t>工作</w:t>
            </w:r>
            <w:r>
              <w:rPr>
                <w:rFonts w:hint="eastAsia" w:ascii="方正仿宋简体" w:hAnsi="方正仿宋简体" w:eastAsia="方正仿宋简体" w:cs="方正仿宋简体"/>
                <w:b w:val="0"/>
                <w:bCs w:val="0"/>
                <w:color w:val="000000"/>
                <w:sz w:val="21"/>
                <w:szCs w:val="21"/>
                <w:lang w:eastAsia="zh-CN"/>
              </w:rPr>
              <w:t>经费</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5</w:t>
            </w:r>
          </w:p>
        </w:tc>
        <w:tc>
          <w:tcPr>
            <w:tcW w:w="2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5</w:t>
            </w:r>
          </w:p>
        </w:tc>
      </w:tr>
      <w:tr>
        <w:tblPrEx>
          <w:tblCellMar>
            <w:top w:w="0" w:type="dxa"/>
            <w:left w:w="0" w:type="dxa"/>
            <w:bottom w:w="0" w:type="dxa"/>
            <w:right w:w="0" w:type="dxa"/>
          </w:tblCellMar>
        </w:tblPrEx>
        <w:trPr>
          <w:trHeight w:val="605" w:hRule="atLeast"/>
        </w:trPr>
        <w:tc>
          <w:tcPr>
            <w:tcW w:w="60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pPr>
          </w:p>
        </w:tc>
        <w:tc>
          <w:tcPr>
            <w:tcW w:w="144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效益指标</w:t>
            </w:r>
          </w:p>
        </w:tc>
        <w:tc>
          <w:tcPr>
            <w:tcW w:w="9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社会效益</w:t>
            </w:r>
          </w:p>
        </w:tc>
        <w:tc>
          <w:tcPr>
            <w:tcW w:w="18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default" w:ascii="方正仿宋简体" w:hAnsi="方正仿宋简体" w:eastAsia="方正仿宋简体" w:cs="方正仿宋简体"/>
                <w:b w:val="0"/>
                <w:bCs w:val="0"/>
                <w:color w:val="000000"/>
                <w:sz w:val="21"/>
                <w:szCs w:val="21"/>
                <w:lang w:eastAsia="zh-CN"/>
              </w:rPr>
              <w:t>加强社会主义核心价值观</w:t>
            </w:r>
            <w:r>
              <w:rPr>
                <w:rFonts w:hint="eastAsia" w:ascii="方正仿宋简体" w:hAnsi="方正仿宋简体" w:eastAsia="方正仿宋简体" w:cs="方正仿宋简体"/>
                <w:b w:val="0"/>
                <w:bCs w:val="0"/>
                <w:color w:val="000000"/>
                <w:sz w:val="21"/>
                <w:szCs w:val="21"/>
                <w:lang w:val="en-US" w:eastAsia="zh-CN"/>
              </w:rPr>
              <w:t>教育</w:t>
            </w:r>
          </w:p>
        </w:tc>
        <w:tc>
          <w:tcPr>
            <w:tcW w:w="2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eastAsia" w:ascii="方正仿宋简体" w:hAnsi="方正仿宋简体" w:eastAsia="方正仿宋简体" w:cs="方正仿宋简体"/>
                <w:b w:val="0"/>
                <w:bCs w:val="0"/>
                <w:color w:val="000000"/>
                <w:sz w:val="21"/>
                <w:szCs w:val="21"/>
                <w:lang w:eastAsia="zh-CN"/>
              </w:rPr>
              <w:t>课题研究</w:t>
            </w:r>
            <w:r>
              <w:rPr>
                <w:rFonts w:hint="default" w:ascii="方正仿宋简体" w:hAnsi="方正仿宋简体" w:eastAsia="方正仿宋简体" w:cs="方正仿宋简体"/>
                <w:b w:val="0"/>
                <w:bCs w:val="0"/>
                <w:color w:val="000000"/>
                <w:sz w:val="21"/>
                <w:szCs w:val="21"/>
                <w:lang w:eastAsia="zh-CN"/>
              </w:rPr>
              <w:t>构筑中国精神、中国价值、中国力量</w:t>
            </w:r>
          </w:p>
        </w:tc>
        <w:tc>
          <w:tcPr>
            <w:tcW w:w="21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方正仿宋简体" w:hAnsi="方正仿宋简体" w:eastAsia="方正仿宋简体" w:cs="方正仿宋简体"/>
                <w:b w:val="0"/>
                <w:bCs w:val="0"/>
                <w:color w:val="000000"/>
                <w:kern w:val="2"/>
                <w:sz w:val="21"/>
                <w:szCs w:val="21"/>
                <w:lang w:val="en-US" w:eastAsia="zh-CN" w:bidi="ar-SA"/>
              </w:rPr>
            </w:pPr>
            <w:r>
              <w:rPr>
                <w:rFonts w:hint="default" w:ascii="方正仿宋简体" w:hAnsi="方正仿宋简体" w:eastAsia="方正仿宋简体" w:cs="方正仿宋简体"/>
                <w:b w:val="0"/>
                <w:bCs w:val="0"/>
                <w:color w:val="000000"/>
                <w:sz w:val="21"/>
                <w:szCs w:val="21"/>
                <w:lang w:eastAsia="zh-CN"/>
              </w:rPr>
              <w:t>为加快建设“三市两地一枢纽”、开启全面建设社会主义现代化巴中新征程提供精神动力</w:t>
            </w:r>
          </w:p>
        </w:tc>
      </w:tr>
      <w:tr>
        <w:tblPrEx>
          <w:tblCellMar>
            <w:top w:w="0" w:type="dxa"/>
            <w:left w:w="0" w:type="dxa"/>
            <w:bottom w:w="0" w:type="dxa"/>
            <w:right w:w="0" w:type="dxa"/>
          </w:tblCellMar>
        </w:tblPrEx>
        <w:trPr>
          <w:trHeight w:val="1115" w:hRule="atLeast"/>
        </w:trPr>
        <w:tc>
          <w:tcPr>
            <w:tcW w:w="60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center"/>
              <w:rPr>
                <w:rFonts w:hint="eastAsia" w:ascii="方正仿宋简体" w:hAnsi="方正仿宋简体" w:eastAsia="方正仿宋简体" w:cs="方正仿宋简体"/>
                <w:b w:val="0"/>
                <w:bCs w:val="0"/>
                <w:color w:val="000000"/>
                <w:sz w:val="21"/>
                <w:szCs w:val="21"/>
                <w:lang w:eastAsia="zh-CN"/>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满意度指标</w:t>
            </w:r>
          </w:p>
        </w:tc>
        <w:tc>
          <w:tcPr>
            <w:tcW w:w="95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服务对象</w:t>
            </w:r>
          </w:p>
        </w:tc>
        <w:tc>
          <w:tcPr>
            <w:tcW w:w="18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val="en-US" w:eastAsia="zh-CN"/>
              </w:rPr>
              <w:t>全体市民</w:t>
            </w:r>
          </w:p>
        </w:tc>
        <w:tc>
          <w:tcPr>
            <w:tcW w:w="226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社会认知度≥</w:t>
            </w:r>
            <w:r>
              <w:rPr>
                <w:rFonts w:hint="default" w:ascii="方正仿宋简体" w:hAnsi="方正仿宋简体" w:eastAsia="方正仿宋简体" w:cs="方正仿宋简体"/>
                <w:b w:val="0"/>
                <w:bCs w:val="0"/>
                <w:color w:val="000000"/>
                <w:sz w:val="21"/>
                <w:szCs w:val="21"/>
                <w:lang w:eastAsia="zh-CN"/>
              </w:rPr>
              <w:t>100%</w:t>
            </w:r>
          </w:p>
        </w:tc>
        <w:tc>
          <w:tcPr>
            <w:tcW w:w="21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方正仿宋简体" w:hAnsi="方正仿宋简体" w:eastAsia="方正仿宋简体" w:cs="方正仿宋简体"/>
                <w:b w:val="0"/>
                <w:bCs w:val="0"/>
                <w:color w:val="000000"/>
                <w:sz w:val="21"/>
                <w:szCs w:val="21"/>
                <w:lang w:eastAsia="zh-CN"/>
              </w:rPr>
            </w:pPr>
            <w:r>
              <w:rPr>
                <w:rFonts w:hint="eastAsia" w:ascii="方正仿宋简体" w:hAnsi="方正仿宋简体" w:eastAsia="方正仿宋简体" w:cs="方正仿宋简体"/>
                <w:b w:val="0"/>
                <w:bCs w:val="0"/>
                <w:color w:val="000000"/>
                <w:sz w:val="21"/>
                <w:szCs w:val="21"/>
                <w:lang w:eastAsia="zh-CN"/>
              </w:rPr>
              <w:t>社会主义核心价值观教育</w:t>
            </w:r>
            <w:r>
              <w:rPr>
                <w:rFonts w:hint="eastAsia" w:ascii="方正仿宋简体" w:hAnsi="方正仿宋简体" w:eastAsia="方正仿宋简体" w:cs="方正仿宋简体"/>
                <w:b w:val="0"/>
                <w:bCs w:val="0"/>
                <w:color w:val="000000"/>
                <w:sz w:val="21"/>
                <w:szCs w:val="21"/>
                <w:lang w:val="en-US" w:eastAsia="zh-CN"/>
              </w:rPr>
              <w:t>在巴中</w:t>
            </w:r>
            <w:r>
              <w:rPr>
                <w:rFonts w:hint="eastAsia" w:ascii="方正仿宋简体" w:hAnsi="方正仿宋简体" w:eastAsia="方正仿宋简体" w:cs="方正仿宋简体"/>
                <w:b w:val="0"/>
                <w:bCs w:val="0"/>
                <w:color w:val="000000"/>
                <w:sz w:val="21"/>
                <w:szCs w:val="21"/>
                <w:lang w:eastAsia="zh-CN"/>
              </w:rPr>
              <w:t>落地生根</w:t>
            </w:r>
          </w:p>
        </w:tc>
      </w:tr>
    </w:tbl>
    <w:p>
      <w:pPr>
        <w:pStyle w:val="2"/>
      </w:pPr>
    </w:p>
    <w:p>
      <w:pPr>
        <w:pStyle w:val="2"/>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中共巴中市委员会宣传部</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外宣工作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外宣工作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p>
    <w:p>
      <w:pPr>
        <w:numPr>
          <w:ilvl w:val="0"/>
          <w:numId w:val="7"/>
        </w:numPr>
        <w:spacing w:line="600" w:lineRule="exact"/>
        <w:ind w:firstLine="660" w:firstLineChars="150"/>
        <w:jc w:val="center"/>
        <w:outlineLvl w:val="0"/>
        <w:rPr>
          <w:rFonts w:ascii="宋体"/>
          <w:b/>
          <w:color w:val="000000"/>
          <w:sz w:val="44"/>
          <w:szCs w:val="44"/>
        </w:rPr>
      </w:pPr>
      <w:bookmarkStart w:id="55" w:name="_Toc15396613"/>
      <w:bookmarkStart w:id="56" w:name="_Toc15377225"/>
      <w:r>
        <w:rPr>
          <w:rFonts w:hint="eastAsia" w:ascii="黑体" w:hAnsi="黑体" w:eastAsia="黑体"/>
          <w:color w:val="000000"/>
          <w:sz w:val="44"/>
          <w:szCs w:val="44"/>
        </w:rPr>
        <w:t>名</w:t>
      </w:r>
      <w:r>
        <w:rPr>
          <w:rStyle w:val="13"/>
          <w:rFonts w:hint="eastAsia" w:ascii="黑体" w:hAnsi="黑体" w:eastAsia="黑体"/>
          <w:b w:val="0"/>
        </w:rPr>
        <w:t>词解释</w:t>
      </w:r>
      <w:bookmarkEnd w:id="55"/>
      <w:bookmarkEnd w:id="56"/>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16"/>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cs="黑体"/>
          <w:sz w:val="32"/>
          <w:szCs w:val="32"/>
        </w:rPr>
      </w:pPr>
    </w:p>
    <w:p>
      <w:pPr>
        <w:keepNext w:val="0"/>
        <w:keepLines w:val="0"/>
        <w:pageBreakBefore w:val="0"/>
        <w:widowControl w:val="0"/>
        <w:kinsoku/>
        <w:wordWrap/>
        <w:overflowPunct/>
        <w:topLinePunct w:val="0"/>
        <w:bidi w:val="0"/>
        <w:snapToGrid/>
        <w:spacing w:line="580" w:lineRule="exact"/>
        <w:ind w:firstLine="643" w:firstLineChars="200"/>
        <w:textAlignment w:val="auto"/>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Fonts w:hint="eastAsia" w:ascii="黑体" w:hAnsi="黑体" w:eastAsia="黑体"/>
          <w:color w:val="000000"/>
          <w:sz w:val="44"/>
          <w:szCs w:val="44"/>
        </w:rPr>
      </w:pPr>
      <w:bookmarkStart w:id="57" w:name="_Toc15396614"/>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3"/>
          <w:rFonts w:ascii="黑体" w:hAnsi="黑体" w:eastAsia="黑体"/>
          <w:b w:val="0"/>
        </w:rPr>
      </w:pPr>
      <w:r>
        <w:rPr>
          <w:rFonts w:hint="eastAsia" w:ascii="黑体" w:hAnsi="黑体" w:eastAsia="黑体"/>
          <w:color w:val="000000"/>
          <w:sz w:val="44"/>
          <w:szCs w:val="44"/>
        </w:rPr>
        <w:t>第</w:t>
      </w:r>
      <w:r>
        <w:rPr>
          <w:rStyle w:val="13"/>
          <w:rFonts w:hint="eastAsia" w:ascii="黑体" w:hAnsi="黑体" w:eastAsia="黑体"/>
          <w:b w:val="0"/>
        </w:rPr>
        <w:t>四部分</w:t>
      </w:r>
      <w:r>
        <w:rPr>
          <w:rStyle w:val="13"/>
          <w:rFonts w:ascii="黑体" w:hAnsi="黑体" w:eastAsia="黑体"/>
          <w:b w:val="0"/>
        </w:rPr>
        <w:t xml:space="preserve"> </w:t>
      </w:r>
      <w:r>
        <w:rPr>
          <w:rStyle w:val="13"/>
          <w:rFonts w:hint="eastAsia" w:ascii="黑体" w:hAnsi="黑体" w:eastAsia="黑体"/>
          <w:b w:val="0"/>
        </w:rPr>
        <w:t>附件</w:t>
      </w:r>
      <w:bookmarkEnd w:id="57"/>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600" w:lineRule="exact"/>
        <w:jc w:val="center"/>
        <w:rPr>
          <w:rFonts w:hint="default" w:ascii="方正小标宋简体" w:hAnsi="宋体" w:eastAsia="方正小标宋简体"/>
          <w:color w:val="000000"/>
          <w:kern w:val="0"/>
          <w:sz w:val="40"/>
          <w:szCs w:val="44"/>
          <w:lang w:val="en-US" w:eastAsia="zh-CN"/>
        </w:rPr>
      </w:pPr>
      <w:r>
        <w:rPr>
          <w:rFonts w:hint="eastAsia" w:ascii="方正小标宋简体" w:hAnsi="宋体" w:eastAsia="方正小标宋简体"/>
          <w:color w:val="000000"/>
          <w:kern w:val="0"/>
          <w:sz w:val="40"/>
          <w:szCs w:val="44"/>
          <w:lang w:val="en-US" w:eastAsia="zh-CN"/>
        </w:rPr>
        <w:t>中共巴中市委宣传部机关</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宋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（一）机构组成。</w:t>
      </w:r>
      <w:bookmarkStart w:id="58" w:name="_Toc19740"/>
      <w:bookmarkStart w:id="59" w:name="_Toc55586765"/>
      <w:r>
        <w:rPr>
          <w:rFonts w:hint="eastAsia" w:ascii="方正仿宋简体" w:hAnsi="方正仿宋简体" w:eastAsia="方正仿宋简体" w:cs="方正仿宋简体"/>
          <w:kern w:val="0"/>
          <w:sz w:val="32"/>
          <w:szCs w:val="32"/>
          <w:shd w:val="clear" w:color="auto" w:fill="FFFFFF"/>
        </w:rPr>
        <w:t>中共巴中市委宣传部是市委主管意识形态方面工作的职能部门，为正县级，列市委工作机关序列。</w:t>
      </w:r>
      <w:r>
        <w:rPr>
          <w:rFonts w:hint="eastAsia" w:ascii="方正仿宋简体" w:hAnsi="方正仿宋简体" w:eastAsia="方正仿宋简体" w:cs="方正仿宋简体"/>
          <w:kern w:val="0"/>
          <w:sz w:val="32"/>
          <w:szCs w:val="32"/>
          <w:shd w:val="clear" w:color="auto" w:fill="FFFFFF"/>
          <w:lang w:val="en-US" w:eastAsia="zh-CN"/>
        </w:rPr>
        <w:t>下设办公室（意识形态工作责任制专项巡察工作协调办公室）、干部科、理论科（政策法规研究科）、宣传教育科、文艺科（文化产业科）、新闻科（外宣科）、出版发行电影科（传媒监管科）、网络监督管理科、公民思想道德建设科、创建指导科、机关党办等11个内设科室。</w:t>
      </w:r>
      <w:r>
        <w:rPr>
          <w:rFonts w:hint="eastAsia" w:ascii="方正仿宋简体" w:hAnsi="方正仿宋简体" w:eastAsia="方正仿宋简体" w:cs="方正仿宋简体"/>
          <w:kern w:val="0"/>
          <w:sz w:val="32"/>
          <w:szCs w:val="32"/>
          <w:shd w:val="clear" w:color="auto" w:fill="FFFFFF"/>
        </w:rPr>
        <w:t>市委网络安全和信息化委员会办公室设在市委宣传部，加挂市精神文明建设办公室、市委对外宣传办公室（市政府新闻办公室）、市新闻出版局（市版权局）、市互联网信息办公室牌子。</w:t>
      </w:r>
      <w:bookmarkEnd w:id="58"/>
      <w:bookmarkEnd w:id="59"/>
    </w:p>
    <w:p>
      <w:pPr>
        <w:pStyle w:val="2"/>
        <w:keepNext w:val="0"/>
        <w:keepLines w:val="0"/>
        <w:pageBreakBefore w:val="0"/>
        <w:widowControl w:val="0"/>
        <w:kinsoku/>
        <w:wordWrap/>
        <w:overflowPunct/>
        <w:topLinePunct w:val="0"/>
        <w:autoSpaceDE/>
        <w:autoSpaceDN/>
        <w:bidi w:val="0"/>
        <w:adjustRightInd/>
        <w:spacing w:line="580" w:lineRule="atLeast"/>
        <w:ind w:firstLine="640" w:firstLineChars="200"/>
        <w:textAlignment w:val="auto"/>
        <w:rPr>
          <w:rFonts w:hint="eastAsia" w:ascii="仿宋" w:hAnsi="仿宋" w:eastAsia="仿宋" w:cs="仿宋"/>
          <w:b/>
          <w:bCs/>
          <w:sz w:val="28"/>
          <w:szCs w:val="28"/>
          <w:lang w:val="en-US" w:eastAsia="zh-CN"/>
        </w:rPr>
      </w:pPr>
      <w:r>
        <w:rPr>
          <w:rFonts w:hint="eastAsia" w:ascii="方正楷体简体" w:hAnsi="方正楷体简体" w:eastAsia="方正楷体简体" w:cs="方正楷体简体"/>
          <w:color w:val="000000"/>
          <w:kern w:val="0"/>
          <w:sz w:val="32"/>
          <w:szCs w:val="32"/>
          <w:shd w:val="clear" w:color="auto" w:fill="FFFFFF"/>
          <w:lang w:val="zh-CN" w:eastAsia="zh-CN" w:bidi="ar-SA"/>
        </w:rPr>
        <w:t>（二）机构职能。</w:t>
      </w:r>
      <w:r>
        <w:rPr>
          <w:rFonts w:hint="default" w:ascii="Calibri" w:hAnsi="Calibri" w:eastAsia="仿宋_GB2312" w:cs="Times New Roman"/>
          <w:b w:val="0"/>
          <w:bCs w:val="0"/>
          <w:color w:val="auto"/>
          <w:kern w:val="0"/>
          <w:sz w:val="32"/>
          <w:szCs w:val="32"/>
          <w:shd w:val="clear" w:color="auto" w:fill="FFFFFF"/>
          <w:lang w:val="en-US" w:eastAsia="zh-CN" w:bidi="ar-SA"/>
        </w:rPr>
        <w:t>拟订全市宣传思想文化工作重大政策和事业产业发展总体规划，统筹协调推进宣传思想文化领域法治建设，按照市委统一部署，协调宣传思想文化系统各部门（单位）之间的工作。统筹协调全市党的意识形态工作，贯彻落实党中央、省委和市委关于意识形态工作的决策部署，组织协调意识形态工作责任制落实和日常监督检查，分析研判意识形态领域情况，配合巡视巡察工作开展专项检查。统筹指导协调理论研究、理论学习、理论宣传工作，组织推动理论武装工作，指导推动哲学社会科学工作，实施马克思主义理论研究和建设工程。负责规划组织全局性思想政治工作，配合市委组织部做好党员教育工作，会同有关部门研究和改进群众思想教育工作。组织重大先进典型的学习和推广。统筹指导协调推动精神文化产品的创作和生产，协调组织中华优秀传统文化传承发展工作，指导协调推动群众文化建设。统筹组织协调精神文明建设工作，协调推动精神文明创建、公民思想道德建设和志愿服务工作。统筹分析研判和引导社会舆论，指导协调市级新闻单位工作，负责组织协调重大新闻宣传活动和重大突发公共事件应急新闻工作</w:t>
      </w:r>
      <w:r>
        <w:rPr>
          <w:rFonts w:hint="eastAsia" w:ascii="Calibri" w:hAnsi="Calibri" w:eastAsia="仿宋_GB2312" w:cs="Times New Roman"/>
          <w:b w:val="0"/>
          <w:bCs w:val="0"/>
          <w:color w:val="auto"/>
          <w:kern w:val="0"/>
          <w:sz w:val="32"/>
          <w:szCs w:val="32"/>
          <w:shd w:val="clear" w:color="auto" w:fill="FFFFFF"/>
          <w:lang w:val="en-US" w:eastAsia="zh-CN" w:bidi="ar-SA"/>
        </w:rPr>
        <w:t>。</w:t>
      </w:r>
      <w:r>
        <w:rPr>
          <w:rFonts w:hint="default" w:ascii="Calibri" w:hAnsi="Calibri" w:eastAsia="仿宋_GB2312" w:cs="Times New Roman"/>
          <w:b w:val="0"/>
          <w:bCs w:val="0"/>
          <w:color w:val="auto"/>
          <w:kern w:val="0"/>
          <w:sz w:val="32"/>
          <w:szCs w:val="32"/>
          <w:shd w:val="clear" w:color="auto" w:fill="FFFFFF"/>
          <w:lang w:val="en-US" w:eastAsia="zh-CN" w:bidi="ar-SA"/>
        </w:rPr>
        <w:t>统筹协调对外宣传工作，组织指导重大对外宣传活动和对外文化交流工作。负责联系中央、省和市外新闻单位及驻巴机构，会同有关部门做好境外来访记者采访事务方面的工作。负责人权宣传工作的组织协调，会同有关部门组织涉及反邪教等方面的对外宣传和舆论斗争工作。统筹协调全市网络安全和信息化工作，组织研究拟订全市网络安全和信息化发展规划和重大政策。宏观指导网络舆情信息有关工作等。负责互联网安全、信息内容监督管理执法。指导和管理互联网违法和不良信息举报工作。统筹指导舆情信息工作，组织协调开展舆情信息收集分析研判工作，跟踪了解、研究掌握宣传舆情动态。统筹协调网络意识形态工作，负责指导、督促、检查网络意识形态工作责任制的贯彻落实，组织开展网络意识形态工作专题督查。统筹协调新媒体的建设与管理。统筹协调组织开展新闻发布工作，承担市委新闻发布有关组织协调工作，负责市政府新闻发布组织实施工作，指导市委、市政府各部门（单位）和区县新闻发布工作，推动新闻发言人制度建设。拟订我市重大问题宣传口径。对新闻出版、文化艺术、广播电视、电影和旅游业改革发展研究提出政策性建议，统筹指导推进文化体制改革和文化事业、文化产业及旅游业发展，统筹市属国有文化资产监管工作，组织研究市属国有文化资产监管重大政策，会同有关单位负责相关工作开展。负责管理新闻出版行政事务和所涉及的行政审批工作，监督管理出版物内容和质量，监督管理印刷业，管理著作权等。组织指导协调“扫黄打非”工作。负责中央、省和市外新闻媒体驻巴机构的监督管理。负责新闻记者证管理工作。负责管理电影行政事务和所涉及的行政审批工作，指导协调和参与重大电影活动和电影对外合作交流等。受市委委托，会同市委组织部管理文化旅游、新闻、出版、广播电视、电影、社会科学研究和互联网信息等方面市直宣传思想文化单位的领导干部。对区县党委宣传部部长的任免提出意见。负责有关重要宣传舆论阵地和重要岗位领导干部管理。负责组织开展宣传思想文化战线干部教育培训和人才工作。归口领导市文化广播电视和旅游局等宣传思想文化和旅游单位。受市委委托，代管市文联、市作协、市社科联、市政研会、巴中日报社、市广播电视台、巴中市文旅集团、四川省有线广播电视网络股份有限公司巴中分公司、市南龛文化产业园管理委员会等宣传思想文化和旅游单位。承担市委网络安全和信息化委员会、市精神文明建设委员会、市委宣传思想工作领导小组、市“扫黄打非”工作领导小组、市文化体制改革和文化产业发展工作领导小组、市属国有文化资产监督管理委员会等的日常工作。完成市委交办的其他任务。</w:t>
      </w:r>
    </w:p>
    <w:p>
      <w:pPr>
        <w:spacing w:line="580" w:lineRule="exact"/>
        <w:ind w:firstLine="640" w:firstLineChars="200"/>
        <w:rPr>
          <w:rFonts w:ascii="仿宋" w:hAnsi="仿宋" w:eastAsia="仿宋" w:cs="仿宋_GB2312"/>
          <w:sz w:val="32"/>
          <w:szCs w:val="32"/>
        </w:rPr>
      </w:pPr>
      <w:r>
        <w:rPr>
          <w:rFonts w:hint="eastAsia" w:ascii="方正楷体简体" w:hAnsi="方正楷体简体" w:eastAsia="方正楷体简体" w:cs="方正楷体简体"/>
          <w:color w:val="000000"/>
          <w:kern w:val="0"/>
          <w:sz w:val="32"/>
          <w:szCs w:val="32"/>
          <w:shd w:val="clear" w:color="auto" w:fill="FFFFFF"/>
          <w:lang w:val="zh-CN"/>
        </w:rPr>
        <w:t>（三）人员概况。</w:t>
      </w:r>
      <w:r>
        <w:rPr>
          <w:rFonts w:hint="eastAsia" w:ascii="仿宋" w:hAnsi="仿宋" w:eastAsia="仿宋" w:cs="仿宋_GB2312"/>
          <w:sz w:val="32"/>
          <w:szCs w:val="32"/>
        </w:rPr>
        <w:t>市委宣传部机关</w:t>
      </w:r>
      <w:r>
        <w:rPr>
          <w:rFonts w:hint="eastAsia" w:ascii="仿宋" w:hAnsi="仿宋" w:eastAsia="仿宋" w:cs="仿宋_GB2312"/>
          <w:sz w:val="32"/>
          <w:szCs w:val="32"/>
          <w:lang w:val="en-US" w:eastAsia="zh-CN"/>
        </w:rPr>
        <w:t>38</w:t>
      </w:r>
      <w:r>
        <w:rPr>
          <w:rFonts w:hint="eastAsia" w:ascii="仿宋" w:hAnsi="仿宋" w:eastAsia="仿宋" w:cs="仿宋_GB2312"/>
          <w:sz w:val="32"/>
          <w:szCs w:val="32"/>
        </w:rPr>
        <w:t>人。其中宣传部机关厅级</w:t>
      </w:r>
      <w:r>
        <w:rPr>
          <w:rFonts w:ascii="仿宋" w:hAnsi="仿宋" w:eastAsia="仿宋" w:cs="仿宋_GB2312"/>
          <w:sz w:val="32"/>
          <w:szCs w:val="32"/>
        </w:rPr>
        <w:t>1</w:t>
      </w:r>
      <w:r>
        <w:rPr>
          <w:rFonts w:hint="eastAsia" w:ascii="仿宋" w:hAnsi="仿宋" w:eastAsia="仿宋" w:cs="仿宋_GB2312"/>
          <w:sz w:val="32"/>
          <w:szCs w:val="32"/>
        </w:rPr>
        <w:t>人，</w:t>
      </w:r>
      <w:r>
        <w:rPr>
          <w:rFonts w:hint="eastAsia" w:ascii="仿宋" w:hAnsi="仿宋" w:eastAsia="仿宋" w:cs="仿宋_GB2312"/>
          <w:sz w:val="32"/>
          <w:szCs w:val="32"/>
          <w:lang w:eastAsia="zh-CN"/>
        </w:rPr>
        <w:t>二级巡视员</w:t>
      </w:r>
      <w:r>
        <w:rPr>
          <w:rFonts w:hint="eastAsia" w:ascii="仿宋" w:hAnsi="仿宋" w:eastAsia="仿宋" w:cs="仿宋_GB2312"/>
          <w:sz w:val="32"/>
          <w:szCs w:val="32"/>
          <w:lang w:val="en-US" w:eastAsia="zh-CN"/>
        </w:rPr>
        <w:t>1人，</w:t>
      </w:r>
      <w:r>
        <w:rPr>
          <w:rFonts w:hint="eastAsia" w:ascii="仿宋" w:hAnsi="仿宋" w:eastAsia="仿宋" w:cs="仿宋_GB2312"/>
          <w:sz w:val="32"/>
          <w:szCs w:val="32"/>
        </w:rPr>
        <w:t>正处级</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人，管理五级</w:t>
      </w:r>
      <w:r>
        <w:rPr>
          <w:rFonts w:ascii="仿宋" w:hAnsi="仿宋" w:eastAsia="仿宋" w:cs="仿宋_GB2312"/>
          <w:sz w:val="32"/>
          <w:szCs w:val="32"/>
        </w:rPr>
        <w:t>1</w:t>
      </w:r>
      <w:r>
        <w:rPr>
          <w:rFonts w:hint="eastAsia" w:ascii="仿宋" w:hAnsi="仿宋" w:eastAsia="仿宋" w:cs="仿宋_GB2312"/>
          <w:sz w:val="32"/>
          <w:szCs w:val="32"/>
        </w:rPr>
        <w:t>人</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副处级</w:t>
      </w:r>
      <w:r>
        <w:rPr>
          <w:rFonts w:hint="eastAsia" w:ascii="仿宋" w:hAnsi="仿宋" w:eastAsia="仿宋" w:cs="仿宋_GB2312"/>
          <w:sz w:val="32"/>
          <w:szCs w:val="32"/>
          <w:lang w:val="en-US" w:eastAsia="zh-CN"/>
        </w:rPr>
        <w:t>11</w:t>
      </w:r>
      <w:r>
        <w:rPr>
          <w:rFonts w:hint="eastAsia" w:ascii="仿宋" w:hAnsi="仿宋" w:eastAsia="仿宋" w:cs="仿宋_GB2312"/>
          <w:sz w:val="32"/>
          <w:szCs w:val="32"/>
        </w:rPr>
        <w:t>人，正科级</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人，</w:t>
      </w:r>
      <w:r>
        <w:rPr>
          <w:rFonts w:hint="eastAsia" w:ascii="仿宋" w:hAnsi="仿宋" w:eastAsia="仿宋" w:cs="仿宋_GB2312"/>
          <w:sz w:val="32"/>
          <w:szCs w:val="32"/>
          <w:lang w:val="en-US" w:eastAsia="zh-CN"/>
        </w:rPr>
        <w:t>副科级2人，</w:t>
      </w:r>
      <w:r>
        <w:rPr>
          <w:rFonts w:hint="eastAsia" w:ascii="仿宋" w:hAnsi="仿宋" w:eastAsia="仿宋" w:cs="仿宋_GB2312"/>
          <w:sz w:val="32"/>
          <w:szCs w:val="32"/>
        </w:rPr>
        <w:t>管理七级职员</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人，</w:t>
      </w:r>
      <w:r>
        <w:rPr>
          <w:rFonts w:hint="eastAsia" w:ascii="仿宋" w:hAnsi="仿宋" w:eastAsia="仿宋" w:cs="仿宋_GB2312"/>
          <w:sz w:val="32"/>
          <w:szCs w:val="32"/>
          <w:lang w:val="en-US" w:eastAsia="zh-CN"/>
        </w:rPr>
        <w:t>管理八级职员3人，管理</w:t>
      </w:r>
      <w:r>
        <w:rPr>
          <w:rFonts w:hint="eastAsia" w:ascii="仿宋" w:hAnsi="仿宋" w:eastAsia="仿宋" w:cs="仿宋_GB2312"/>
          <w:sz w:val="32"/>
          <w:szCs w:val="32"/>
        </w:rPr>
        <w:t>九级职员</w:t>
      </w:r>
      <w:r>
        <w:rPr>
          <w:rFonts w:ascii="仿宋" w:hAnsi="仿宋" w:eastAsia="仿宋" w:cs="仿宋_GB2312"/>
          <w:sz w:val="32"/>
          <w:szCs w:val="32"/>
        </w:rPr>
        <w:t>1</w:t>
      </w:r>
      <w:r>
        <w:rPr>
          <w:rFonts w:hint="eastAsia" w:ascii="仿宋" w:hAnsi="仿宋" w:eastAsia="仿宋" w:cs="仿宋_GB2312"/>
          <w:sz w:val="32"/>
          <w:szCs w:val="32"/>
        </w:rPr>
        <w:t>人</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六级</w:t>
      </w:r>
      <w:r>
        <w:rPr>
          <w:rFonts w:hint="eastAsia" w:ascii="仿宋" w:hAnsi="仿宋" w:eastAsia="仿宋" w:cs="仿宋_GB2312"/>
          <w:sz w:val="32"/>
          <w:szCs w:val="32"/>
        </w:rPr>
        <w:t>专业技术人员</w:t>
      </w:r>
      <w:r>
        <w:rPr>
          <w:rFonts w:ascii="仿宋" w:hAnsi="仿宋" w:eastAsia="仿宋" w:cs="仿宋_GB2312"/>
          <w:sz w:val="32"/>
          <w:szCs w:val="32"/>
        </w:rPr>
        <w:t>1</w:t>
      </w:r>
      <w:r>
        <w:rPr>
          <w:rFonts w:hint="eastAsia" w:ascii="仿宋" w:hAnsi="仿宋" w:eastAsia="仿宋" w:cs="仿宋_GB2312"/>
          <w:sz w:val="32"/>
          <w:szCs w:val="32"/>
        </w:rPr>
        <w:t>人</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八级专业技术人员1人，</w:t>
      </w:r>
      <w:r>
        <w:rPr>
          <w:rFonts w:hint="eastAsia" w:ascii="仿宋" w:hAnsi="仿宋" w:eastAsia="仿宋" w:cs="仿宋_GB2312"/>
          <w:sz w:val="32"/>
          <w:szCs w:val="32"/>
        </w:rPr>
        <w:t>中级工</w:t>
      </w:r>
      <w:r>
        <w:rPr>
          <w:rFonts w:ascii="仿宋" w:hAnsi="仿宋" w:eastAsia="仿宋" w:cs="仿宋_GB2312"/>
          <w:sz w:val="32"/>
          <w:szCs w:val="32"/>
        </w:rPr>
        <w:t>1</w:t>
      </w:r>
      <w:r>
        <w:rPr>
          <w:rFonts w:hint="eastAsia" w:ascii="仿宋" w:hAnsi="仿宋" w:eastAsia="仿宋" w:cs="仿宋_GB2312"/>
          <w:sz w:val="32"/>
          <w:szCs w:val="32"/>
        </w:rPr>
        <w:t>人，四级技术工</w:t>
      </w:r>
      <w:r>
        <w:rPr>
          <w:rFonts w:ascii="仿宋" w:hAnsi="仿宋" w:eastAsia="仿宋" w:cs="仿宋_GB2312"/>
          <w:sz w:val="32"/>
          <w:szCs w:val="32"/>
        </w:rPr>
        <w:t>1</w:t>
      </w:r>
      <w:r>
        <w:rPr>
          <w:rFonts w:hint="eastAsia" w:ascii="仿宋" w:hAnsi="仿宋" w:eastAsia="仿宋" w:cs="仿宋_GB2312"/>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方正楷体简体" w:hAnsi="方正楷体简体" w:eastAsia="方正楷体简体" w:cs="方正楷体简体"/>
          <w:color w:val="000000"/>
          <w:kern w:val="0"/>
          <w:sz w:val="32"/>
          <w:szCs w:val="32"/>
          <w:shd w:val="clear" w:color="auto" w:fill="FFFFFF"/>
          <w:lang w:val="zh-CN" w:eastAsia="zh-CN" w:bidi="ar-SA"/>
        </w:rPr>
      </w:pPr>
      <w:r>
        <w:rPr>
          <w:rFonts w:hint="eastAsia" w:ascii="方正楷体简体" w:hAnsi="方正楷体简体" w:eastAsia="方正楷体简体" w:cs="方正楷体简体"/>
          <w:color w:val="000000"/>
          <w:kern w:val="0"/>
          <w:sz w:val="32"/>
          <w:szCs w:val="32"/>
          <w:shd w:val="clear" w:color="auto" w:fill="FFFFFF"/>
          <w:lang w:val="zh-CN" w:eastAsia="zh-CN" w:bidi="ar-SA"/>
        </w:rPr>
        <w:t>（一）部门财政资金收入情况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1720.9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1720.9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val="0"/>
        <w:tabs>
          <w:tab w:val="left" w:pos="1183"/>
        </w:tabs>
        <w:kinsoku/>
        <w:wordWrap/>
        <w:overflowPunct/>
        <w:topLinePunct w:val="0"/>
        <w:autoSpaceDE/>
        <w:autoSpaceDN/>
        <w:bidi w:val="0"/>
        <w:adjustRightInd/>
        <w:snapToGrid/>
        <w:spacing w:line="580" w:lineRule="exact"/>
        <w:ind w:firstLine="640" w:firstLineChars="200"/>
        <w:textAlignment w:val="auto"/>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w:t>
      </w:r>
      <w:r>
        <w:rPr>
          <w:rFonts w:hint="eastAsia" w:ascii="方正楷体简体" w:hAnsi="方正楷体简体" w:eastAsia="方正楷体简体" w:cs="方正楷体简体"/>
          <w:color w:val="000000"/>
          <w:kern w:val="0"/>
          <w:sz w:val="32"/>
          <w:szCs w:val="32"/>
          <w:shd w:val="clear" w:color="auto" w:fill="FFFFFF"/>
          <w:lang w:val="en-US" w:eastAsia="zh-CN"/>
        </w:rPr>
        <w:t>二</w:t>
      </w:r>
      <w:r>
        <w:rPr>
          <w:rFonts w:hint="eastAsia" w:ascii="方正楷体简体" w:hAnsi="方正楷体简体" w:eastAsia="方正楷体简体" w:cs="方正楷体简体"/>
          <w:color w:val="000000"/>
          <w:kern w:val="0"/>
          <w:sz w:val="32"/>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2054.2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1770.3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86.2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4.4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hint="eastAsia" w:ascii="仿宋" w:hAnsi="仿宋" w:eastAsia="仿宋"/>
          <w:b/>
          <w:bCs/>
          <w:color w:val="000000"/>
          <w:sz w:val="32"/>
          <w:szCs w:val="32"/>
          <w:lang w:val="en-US" w:eastAsia="zh-CN"/>
        </w:rPr>
        <w:t>71</w:t>
      </w:r>
      <w:r>
        <w:rPr>
          <w:rFonts w:hint="eastAsia" w:ascii="仿宋" w:hAnsi="仿宋" w:eastAsia="仿宋"/>
          <w:b/>
          <w:bCs/>
          <w:color w:val="000000"/>
          <w:sz w:val="32"/>
          <w:szCs w:val="32"/>
        </w:rPr>
        <w:t>万元，占</w:t>
      </w:r>
      <w:r>
        <w:rPr>
          <w:rFonts w:hint="eastAsia" w:ascii="仿宋" w:hAnsi="仿宋" w:eastAsia="仿宋"/>
          <w:b/>
          <w:bCs/>
          <w:color w:val="000000"/>
          <w:sz w:val="32"/>
          <w:szCs w:val="32"/>
          <w:lang w:val="en-US" w:eastAsia="zh-CN"/>
        </w:rPr>
        <w:t>3.5</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55.3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35.5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w:t>
      </w:r>
      <w:r>
        <w:rPr>
          <w:rFonts w:hint="eastAsia" w:ascii="仿宋" w:hAnsi="仿宋" w:eastAsia="仿宋"/>
          <w:color w:val="000000"/>
          <w:sz w:val="32"/>
          <w:szCs w:val="32"/>
        </w:rPr>
        <w:t>出</w:t>
      </w:r>
      <w:r>
        <w:rPr>
          <w:rFonts w:hint="eastAsia" w:ascii="仿宋" w:hAnsi="仿宋" w:eastAsia="仿宋"/>
          <w:color w:val="000000"/>
          <w:sz w:val="32"/>
          <w:szCs w:val="32"/>
          <w:lang w:val="en-US" w:eastAsia="zh-CN"/>
        </w:rPr>
        <w:t>60.8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lang w:val="en-US" w:eastAsia="zh-CN"/>
        </w:rPr>
        <w:t>农林水支出</w:t>
      </w:r>
      <w:r>
        <w:rPr>
          <w:rFonts w:hint="eastAsia" w:ascii="仿宋" w:hAnsi="仿宋" w:eastAsia="仿宋"/>
          <w:color w:val="000000"/>
          <w:sz w:val="32"/>
          <w:szCs w:val="32"/>
          <w:lang w:val="en-US" w:eastAsia="zh-CN"/>
        </w:rPr>
        <w:t>57万元，占2.8%</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部门预算工作经费保障了机关运转及各项重点工作的高质、高效、有序推进，为此我们以资金监管为抓手，创新规划项目管理模式，进一步完善管理机制，提升服务质量，取得了良好的成效。一是加强制度建设，完善资金监管机制，不断修订了《中共巴中市委宣传部财务管理制度》《中共巴中市委宣传部资产管理制度》等管理办法，并将项目资金纳入重点监管范围，实行专户管理、统一核算、集中支付、专款专用。二是加强拨付审查，规范资金拨付程序。市委宣传部配合市财政局加强对项目工作经费的管理，规范资金拨付和使用，注重控制项目工作经费使用范围，确保资金用于各种规划项目工作推动落实上。同时我们加强对支付票据的审核，积极协税护税，防止税源流失。三是加强财务监管，强化项目经费基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按照“过紧日子”要求，</w:t>
      </w:r>
      <w:r>
        <w:rPr>
          <w:rFonts w:hint="eastAsia" w:ascii="仿宋_GB2312" w:hAnsi="宋体" w:eastAsia="仿宋_GB2312" w:cs="宋体"/>
          <w:color w:val="000000"/>
          <w:kern w:val="0"/>
          <w:sz w:val="32"/>
          <w:szCs w:val="32"/>
          <w:shd w:val="clear" w:color="auto" w:fill="FFFFFF"/>
          <w:lang w:val="zh-CN"/>
        </w:rPr>
        <w:t>进一步完善各项</w:t>
      </w:r>
      <w:r>
        <w:rPr>
          <w:rFonts w:hint="eastAsia" w:ascii="仿宋_GB2312" w:hAnsi="宋体" w:eastAsia="仿宋_GB2312" w:cs="宋体"/>
          <w:color w:val="000000"/>
          <w:kern w:val="0"/>
          <w:sz w:val="32"/>
          <w:szCs w:val="32"/>
          <w:shd w:val="clear" w:color="auto" w:fill="FFFFFF"/>
          <w:lang w:val="en-US" w:eastAsia="zh-CN"/>
        </w:rPr>
        <w:t>财务管理</w:t>
      </w:r>
      <w:r>
        <w:rPr>
          <w:rFonts w:hint="eastAsia" w:ascii="仿宋_GB2312" w:hAnsi="宋体" w:eastAsia="仿宋_GB2312" w:cs="宋体"/>
          <w:color w:val="000000"/>
          <w:kern w:val="0"/>
          <w:sz w:val="32"/>
          <w:szCs w:val="32"/>
          <w:shd w:val="clear" w:color="auto" w:fill="FFFFFF"/>
          <w:lang w:val="zh-CN"/>
        </w:rPr>
        <w:t>制度，</w:t>
      </w:r>
      <w:r>
        <w:rPr>
          <w:rFonts w:hint="eastAsia" w:ascii="仿宋_GB2312" w:hAnsi="宋体" w:eastAsia="仿宋_GB2312" w:cs="宋体"/>
          <w:color w:val="000000"/>
          <w:kern w:val="0"/>
          <w:sz w:val="32"/>
          <w:szCs w:val="32"/>
          <w:shd w:val="clear" w:color="auto" w:fill="FFFFFF"/>
          <w:lang w:val="en-US" w:eastAsia="zh-CN"/>
        </w:rPr>
        <w:t>规范</w:t>
      </w:r>
      <w:r>
        <w:rPr>
          <w:rFonts w:hint="eastAsia" w:ascii="仿宋_GB2312" w:hAnsi="宋体" w:eastAsia="仿宋_GB2312" w:cs="宋体"/>
          <w:color w:val="000000"/>
          <w:kern w:val="0"/>
          <w:sz w:val="32"/>
          <w:szCs w:val="32"/>
          <w:shd w:val="clear" w:color="auto" w:fill="FFFFFF"/>
          <w:lang w:val="zh-CN"/>
        </w:rPr>
        <w:t>资金管理，提高资金使用效率，</w:t>
      </w:r>
      <w:r>
        <w:rPr>
          <w:rFonts w:hint="eastAsia" w:ascii="仿宋_GB2312" w:hAnsi="宋体" w:eastAsia="仿宋_GB2312" w:cs="宋体"/>
          <w:color w:val="000000"/>
          <w:kern w:val="0"/>
          <w:sz w:val="32"/>
          <w:szCs w:val="32"/>
          <w:shd w:val="clear" w:color="auto" w:fill="FFFFFF"/>
          <w:lang w:val="en-US" w:eastAsia="zh-CN"/>
        </w:rPr>
        <w:t>加快全面提升全市</w:t>
      </w:r>
      <w:r>
        <w:rPr>
          <w:rFonts w:hint="eastAsia" w:ascii="仿宋_GB2312" w:hAnsi="宋体" w:eastAsia="仿宋_GB2312" w:cs="宋体"/>
          <w:color w:val="000000"/>
          <w:kern w:val="0"/>
          <w:sz w:val="32"/>
          <w:szCs w:val="32"/>
          <w:shd w:val="clear" w:color="auto" w:fill="FFFFFF"/>
          <w:lang w:val="zh-CN"/>
        </w:rPr>
        <w:t>宣传</w:t>
      </w:r>
      <w:r>
        <w:rPr>
          <w:rFonts w:hint="eastAsia" w:ascii="仿宋_GB2312" w:hAnsi="宋体" w:eastAsia="仿宋_GB2312" w:cs="宋体"/>
          <w:color w:val="000000"/>
          <w:kern w:val="0"/>
          <w:sz w:val="32"/>
          <w:szCs w:val="32"/>
          <w:shd w:val="clear" w:color="auto" w:fill="FFFFFF"/>
          <w:lang w:val="en-US" w:eastAsia="zh-CN"/>
        </w:rPr>
        <w:t>思想文化</w:t>
      </w:r>
      <w:r>
        <w:rPr>
          <w:rFonts w:hint="eastAsia" w:ascii="仿宋_GB2312" w:hAnsi="宋体" w:eastAsia="仿宋_GB2312" w:cs="宋体"/>
          <w:color w:val="000000"/>
          <w:kern w:val="0"/>
          <w:sz w:val="32"/>
          <w:szCs w:val="32"/>
          <w:shd w:val="clear" w:color="auto" w:fill="FFFFFF"/>
          <w:lang w:val="zh-CN"/>
        </w:rPr>
        <w:t>工作</w:t>
      </w:r>
      <w:r>
        <w:rPr>
          <w:rFonts w:hint="eastAsia" w:ascii="仿宋_GB2312" w:hAnsi="宋体" w:eastAsia="仿宋_GB2312" w:cs="宋体"/>
          <w:color w:val="000000"/>
          <w:kern w:val="0"/>
          <w:sz w:val="32"/>
          <w:szCs w:val="32"/>
          <w:shd w:val="clear" w:color="auto" w:fill="FFFFFF"/>
          <w:lang w:val="en-US" w:eastAsia="zh-CN"/>
        </w:rPr>
        <w:t>质效，不断助力巴中高质量发展</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after="0" w:line="560" w:lineRule="exact"/>
        <w:ind w:firstLine="640" w:firstLineChars="200"/>
        <w:rPr>
          <w:rStyle w:val="11"/>
          <w:rFonts w:hint="eastAsia" w:ascii="方正仿宋简体" w:hAnsi="方正仿宋简体" w:eastAsia="方正仿宋简体" w:cs="方正仿宋简体"/>
          <w:b w:val="0"/>
          <w:bCs/>
          <w:color w:val="000000"/>
          <w:sz w:val="32"/>
          <w:szCs w:val="32"/>
        </w:rPr>
      </w:pPr>
      <w:r>
        <w:rPr>
          <w:rFonts w:hint="eastAsia" w:ascii="方正楷体简体" w:hAnsi="方正楷体简体" w:eastAsia="方正楷体简体" w:cs="方正楷体简体"/>
          <w:color w:val="000000"/>
          <w:kern w:val="0"/>
          <w:sz w:val="32"/>
          <w:szCs w:val="32"/>
          <w:shd w:val="clear" w:color="auto" w:fill="FFFFFF"/>
          <w:lang w:val="zh-CN"/>
        </w:rPr>
        <w:t>（一）评价结论。</w:t>
      </w:r>
      <w:r>
        <w:rPr>
          <w:rFonts w:hint="eastAsia" w:ascii="方正仿宋简体" w:hAnsi="方正仿宋简体" w:eastAsia="方正仿宋简体" w:cs="方正仿宋简体"/>
          <w:sz w:val="32"/>
          <w:szCs w:val="32"/>
        </w:rPr>
        <w:t>2020年，</w:t>
      </w:r>
      <w:r>
        <w:rPr>
          <w:rStyle w:val="11"/>
          <w:rFonts w:hint="eastAsia" w:ascii="方正仿宋简体" w:hAnsi="方正仿宋简体" w:eastAsia="方正仿宋简体" w:cs="方正仿宋简体"/>
          <w:b w:val="0"/>
          <w:bCs/>
          <w:color w:val="000000"/>
          <w:sz w:val="32"/>
          <w:szCs w:val="32"/>
        </w:rPr>
        <w:t>市委宣传部</w:t>
      </w:r>
      <w:r>
        <w:rPr>
          <w:rStyle w:val="11"/>
          <w:rFonts w:hint="eastAsia" w:ascii="方正仿宋简体" w:hAnsi="方正仿宋简体" w:eastAsia="方正仿宋简体" w:cs="方正仿宋简体"/>
          <w:b w:val="0"/>
          <w:bCs/>
          <w:color w:val="000000"/>
          <w:sz w:val="32"/>
          <w:szCs w:val="32"/>
          <w:lang w:val="en-US" w:eastAsia="zh-CN"/>
        </w:rPr>
        <w:t>机关</w:t>
      </w:r>
      <w:r>
        <w:rPr>
          <w:rFonts w:hint="eastAsia" w:ascii="方正仿宋简体" w:hAnsi="方正仿宋简体" w:eastAsia="方正仿宋简体" w:cs="方正仿宋简体"/>
          <w:sz w:val="32"/>
          <w:szCs w:val="32"/>
        </w:rPr>
        <w:t>预算编制科学、绩效目标设置合理、项目立项规范、财政资金支出符合规定，财务管理制度健全，执行有效，项目质量可控，取得了预期效果，不断提高了巴中知名度、美誉度。</w:t>
      </w:r>
      <w:r>
        <w:rPr>
          <w:rStyle w:val="11"/>
          <w:rFonts w:hint="eastAsia" w:ascii="方正仿宋简体" w:hAnsi="方正仿宋简体" w:eastAsia="方正仿宋简体" w:cs="方正仿宋简体"/>
          <w:b w:val="0"/>
          <w:bCs/>
          <w:color w:val="000000"/>
          <w:sz w:val="32"/>
          <w:szCs w:val="32"/>
        </w:rPr>
        <w:t>一年来，执行预算时厉行节约，</w:t>
      </w:r>
      <w:r>
        <w:rPr>
          <w:rFonts w:hint="eastAsia" w:ascii="方正仿宋简体" w:hAnsi="方正仿宋简体" w:eastAsia="方正仿宋简体" w:cs="方正仿宋简体"/>
          <w:sz w:val="32"/>
          <w:szCs w:val="32"/>
        </w:rPr>
        <w:t>各类项目均按目标任务完成，事业发展类的任务均全部完成，</w:t>
      </w:r>
      <w:r>
        <w:rPr>
          <w:rStyle w:val="11"/>
          <w:rFonts w:hint="eastAsia" w:ascii="方正仿宋简体" w:hAnsi="方正仿宋简体" w:eastAsia="方正仿宋简体" w:cs="方正仿宋简体"/>
          <w:b w:val="0"/>
          <w:bCs/>
          <w:color w:val="000000"/>
          <w:sz w:val="32"/>
          <w:szCs w:val="32"/>
        </w:rPr>
        <w:t>无违纪违规等现象发生。</w:t>
      </w:r>
    </w:p>
    <w:p>
      <w:pPr>
        <w:autoSpaceDE w:val="0"/>
        <w:spacing w:line="576" w:lineRule="exact"/>
        <w:ind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color w:val="000000"/>
          <w:kern w:val="0"/>
          <w:sz w:val="32"/>
          <w:szCs w:val="32"/>
          <w:shd w:val="clear" w:color="auto" w:fill="FFFFFF"/>
          <w:lang w:val="zh-CN"/>
        </w:rPr>
        <w:t>（二）存在问题。</w:t>
      </w:r>
      <w:r>
        <w:rPr>
          <w:rStyle w:val="11"/>
          <w:rFonts w:hint="eastAsia" w:ascii="方正仿宋简体" w:hAnsi="方正仿宋简体" w:eastAsia="方正仿宋简体" w:cs="方正仿宋简体"/>
          <w:b w:val="0"/>
          <w:bCs/>
          <w:color w:val="000000"/>
          <w:sz w:val="32"/>
          <w:szCs w:val="32"/>
        </w:rPr>
        <w:t>因</w:t>
      </w:r>
      <w:r>
        <w:rPr>
          <w:rFonts w:hint="eastAsia" w:ascii="方正仿宋简体" w:hAnsi="方正仿宋简体" w:eastAsia="方正仿宋简体" w:cs="方正仿宋简体"/>
          <w:sz w:val="32"/>
          <w:szCs w:val="32"/>
        </w:rPr>
        <w:t>部分</w:t>
      </w:r>
      <w:r>
        <w:rPr>
          <w:rFonts w:hint="eastAsia" w:ascii="方正仿宋简体" w:hAnsi="方正仿宋简体" w:eastAsia="方正仿宋简体" w:cs="方正仿宋简体"/>
          <w:sz w:val="32"/>
          <w:szCs w:val="32"/>
          <w:lang w:val="en-US" w:eastAsia="zh-CN"/>
        </w:rPr>
        <w:t>重大</w:t>
      </w:r>
      <w:r>
        <w:rPr>
          <w:rFonts w:hint="eastAsia" w:ascii="方正仿宋简体" w:hAnsi="方正仿宋简体" w:eastAsia="方正仿宋简体" w:cs="方正仿宋简体"/>
          <w:sz w:val="32"/>
          <w:szCs w:val="32"/>
        </w:rPr>
        <w:t>宣传活动</w:t>
      </w:r>
      <w:r>
        <w:rPr>
          <w:rFonts w:hint="eastAsia" w:ascii="方正仿宋简体" w:hAnsi="方正仿宋简体" w:eastAsia="方正仿宋简体" w:cs="方正仿宋简体"/>
          <w:sz w:val="32"/>
          <w:szCs w:val="32"/>
          <w:lang w:val="en-US" w:eastAsia="zh-CN"/>
        </w:rPr>
        <w:t>或突发性重大舆情</w:t>
      </w:r>
      <w:r>
        <w:rPr>
          <w:rFonts w:hint="eastAsia" w:ascii="方正仿宋简体" w:hAnsi="方正仿宋简体" w:eastAsia="方正仿宋简体" w:cs="方正仿宋简体"/>
          <w:sz w:val="32"/>
          <w:szCs w:val="32"/>
        </w:rPr>
        <w:t>在年初</w:t>
      </w:r>
      <w:r>
        <w:rPr>
          <w:rFonts w:hint="eastAsia" w:ascii="方正仿宋简体" w:hAnsi="方正仿宋简体" w:eastAsia="方正仿宋简体" w:cs="方正仿宋简体"/>
          <w:sz w:val="32"/>
          <w:szCs w:val="32"/>
          <w:lang w:val="en-US" w:eastAsia="zh-CN"/>
        </w:rPr>
        <w:t>根本</w:t>
      </w:r>
      <w:r>
        <w:rPr>
          <w:rFonts w:hint="eastAsia" w:ascii="方正仿宋简体" w:hAnsi="方正仿宋简体" w:eastAsia="方正仿宋简体" w:cs="方正仿宋简体"/>
          <w:sz w:val="32"/>
          <w:szCs w:val="32"/>
        </w:rPr>
        <w:t>无法确定，预算资金安排和使用上仍存在不可预见性的问题，</w:t>
      </w:r>
      <w:r>
        <w:rPr>
          <w:rFonts w:hint="eastAsia" w:ascii="方正仿宋简体" w:hAnsi="方正仿宋简体" w:eastAsia="方正仿宋简体" w:cs="方正仿宋简体"/>
          <w:sz w:val="32"/>
          <w:szCs w:val="32"/>
          <w:lang w:val="en-US" w:eastAsia="zh-CN"/>
        </w:rPr>
        <w:t>致</w:t>
      </w:r>
      <w:r>
        <w:rPr>
          <w:rFonts w:hint="eastAsia" w:ascii="方正仿宋简体" w:hAnsi="方正仿宋简体" w:eastAsia="方正仿宋简体" w:cs="方正仿宋简体"/>
          <w:sz w:val="32"/>
          <w:szCs w:val="32"/>
        </w:rPr>
        <w:t>追加预算金额较大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同时，部分项目支付周期较长，存在跨年度支付情况，</w:t>
      </w:r>
      <w:r>
        <w:rPr>
          <w:rFonts w:hint="eastAsia" w:ascii="方正仿宋简体" w:hAnsi="方正仿宋简体" w:eastAsia="方正仿宋简体" w:cs="方正仿宋简体"/>
          <w:sz w:val="32"/>
          <w:szCs w:val="32"/>
          <w:lang w:val="en-US" w:eastAsia="zh-CN"/>
        </w:rPr>
        <w:t>结余</w:t>
      </w:r>
      <w:r>
        <w:rPr>
          <w:rFonts w:hint="eastAsia" w:ascii="方正仿宋简体" w:hAnsi="方正仿宋简体" w:eastAsia="方正仿宋简体" w:cs="方正仿宋简体"/>
          <w:sz w:val="32"/>
          <w:szCs w:val="32"/>
        </w:rPr>
        <w:t>结转资金较多，预算编制的科学性、合理性有待进一步提高。</w:t>
      </w:r>
    </w:p>
    <w:p>
      <w:pPr>
        <w:autoSpaceDE w:val="0"/>
        <w:spacing w:line="576" w:lineRule="exact"/>
        <w:ind w:firstLine="640" w:firstLineChars="200"/>
        <w:rPr>
          <w:rFonts w:ascii="仿宋" w:hAnsi="仿宋" w:eastAsia="仿宋"/>
          <w:sz w:val="32"/>
          <w:szCs w:val="32"/>
        </w:rPr>
      </w:pPr>
      <w:r>
        <w:rPr>
          <w:rFonts w:hint="eastAsia" w:ascii="方正楷体简体" w:hAnsi="方正楷体简体" w:eastAsia="方正楷体简体" w:cs="方正楷体简体"/>
          <w:color w:val="000000"/>
          <w:kern w:val="0"/>
          <w:sz w:val="32"/>
          <w:szCs w:val="32"/>
          <w:shd w:val="clear" w:color="auto" w:fill="FFFFFF"/>
          <w:lang w:val="zh-CN"/>
        </w:rPr>
        <w:t>（三）改进建议。</w:t>
      </w:r>
      <w:r>
        <w:rPr>
          <w:rFonts w:hint="eastAsia" w:ascii="仿宋_GB2312" w:hAnsi="宋体" w:eastAsia="仿宋_GB2312" w:cs="宋体"/>
          <w:color w:val="000000"/>
          <w:kern w:val="0"/>
          <w:sz w:val="32"/>
          <w:szCs w:val="32"/>
          <w:shd w:val="clear" w:color="auto" w:fill="FFFFFF"/>
          <w:lang w:val="en-US" w:eastAsia="zh-CN"/>
        </w:rPr>
        <w:t>全面落实</w:t>
      </w:r>
      <w:r>
        <w:rPr>
          <w:rFonts w:hint="eastAsia" w:ascii="仿宋_GB2312" w:hAnsi="仿宋" w:eastAsia="仿宋_GB2312"/>
          <w:sz w:val="32"/>
          <w:szCs w:val="32"/>
        </w:rPr>
        <w:t>《预算法》</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会计法</w:t>
      </w:r>
      <w:r>
        <w:rPr>
          <w:rFonts w:hint="eastAsia" w:ascii="仿宋_GB2312" w:hAnsi="仿宋" w:eastAsia="仿宋_GB2312"/>
          <w:sz w:val="32"/>
          <w:szCs w:val="32"/>
          <w:lang w:eastAsia="zh-CN"/>
        </w:rPr>
        <w:t>》</w:t>
      </w:r>
      <w:r>
        <w:rPr>
          <w:rFonts w:hint="eastAsia" w:ascii="仿宋_GB2312" w:hAnsi="仿宋" w:eastAsia="仿宋_GB2312"/>
          <w:sz w:val="32"/>
          <w:szCs w:val="32"/>
        </w:rPr>
        <w:t>，严格执行财经纪律和财务制度及有关法律法规政策，厉行节约</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杜绝</w:t>
      </w:r>
      <w:r>
        <w:rPr>
          <w:rFonts w:hint="eastAsia" w:ascii="仿宋_GB2312" w:hAnsi="仿宋" w:eastAsia="仿宋_GB2312"/>
          <w:sz w:val="32"/>
          <w:szCs w:val="32"/>
        </w:rPr>
        <w:t>浪费，</w:t>
      </w:r>
      <w:r>
        <w:rPr>
          <w:rFonts w:hint="eastAsia" w:ascii="仿宋" w:hAnsi="仿宋" w:eastAsia="仿宋"/>
          <w:sz w:val="32"/>
          <w:szCs w:val="32"/>
        </w:rPr>
        <w:t>加强会计业务培训，提升</w:t>
      </w:r>
      <w:r>
        <w:rPr>
          <w:rFonts w:hint="eastAsia" w:ascii="仿宋" w:hAnsi="仿宋" w:eastAsia="仿宋"/>
          <w:sz w:val="32"/>
          <w:szCs w:val="32"/>
          <w:lang w:val="en-US" w:eastAsia="zh-CN"/>
        </w:rPr>
        <w:t>财务</w:t>
      </w:r>
      <w:r>
        <w:rPr>
          <w:rFonts w:hint="eastAsia" w:ascii="仿宋" w:hAnsi="仿宋" w:eastAsia="仿宋"/>
          <w:sz w:val="32"/>
          <w:szCs w:val="32"/>
        </w:rPr>
        <w:t>人员</w:t>
      </w:r>
      <w:r>
        <w:rPr>
          <w:rFonts w:hint="eastAsia" w:ascii="仿宋_GB2312" w:hAnsi="仿宋" w:eastAsia="仿宋_GB2312"/>
          <w:sz w:val="32"/>
          <w:szCs w:val="32"/>
        </w:rPr>
        <w:t>理论水平和业务</w:t>
      </w:r>
      <w:r>
        <w:rPr>
          <w:rFonts w:hint="eastAsia" w:ascii="仿宋_GB2312" w:hAnsi="仿宋" w:eastAsia="仿宋_GB2312"/>
          <w:sz w:val="32"/>
          <w:szCs w:val="32"/>
          <w:lang w:val="en-US" w:eastAsia="zh-CN"/>
        </w:rPr>
        <w:t>素质</w:t>
      </w:r>
      <w:r>
        <w:rPr>
          <w:rFonts w:hint="eastAsia" w:ascii="仿宋" w:hAnsi="仿宋" w:eastAsia="仿宋"/>
          <w:sz w:val="32"/>
          <w:szCs w:val="32"/>
        </w:rPr>
        <w:t>，</w:t>
      </w:r>
      <w:r>
        <w:rPr>
          <w:rFonts w:hint="eastAsia" w:ascii="仿宋" w:hAnsi="仿宋" w:eastAsia="仿宋"/>
          <w:sz w:val="32"/>
          <w:szCs w:val="32"/>
          <w:lang w:val="en-US" w:eastAsia="zh-CN"/>
        </w:rPr>
        <w:t>推动</w:t>
      </w:r>
      <w:r>
        <w:rPr>
          <w:rFonts w:hint="eastAsia" w:ascii="仿宋_GB2312" w:hAnsi="仿宋" w:eastAsia="仿宋_GB2312"/>
          <w:sz w:val="32"/>
          <w:szCs w:val="32"/>
        </w:rPr>
        <w:t>财务</w:t>
      </w:r>
      <w:r>
        <w:rPr>
          <w:rFonts w:hint="eastAsia" w:ascii="仿宋" w:hAnsi="仿宋" w:eastAsia="仿宋"/>
          <w:sz w:val="32"/>
          <w:szCs w:val="32"/>
        </w:rPr>
        <w:t>工作</w:t>
      </w:r>
      <w:r>
        <w:rPr>
          <w:rFonts w:hint="eastAsia" w:ascii="仿宋" w:hAnsi="仿宋" w:eastAsia="仿宋"/>
          <w:sz w:val="32"/>
          <w:szCs w:val="32"/>
          <w:lang w:val="en-US" w:eastAsia="zh-CN"/>
        </w:rPr>
        <w:t>高</w:t>
      </w:r>
      <w:r>
        <w:rPr>
          <w:rFonts w:hint="eastAsia" w:ascii="仿宋" w:hAnsi="仿宋" w:eastAsia="仿宋"/>
          <w:sz w:val="32"/>
          <w:szCs w:val="32"/>
        </w:rPr>
        <w:t>质</w:t>
      </w:r>
      <w:r>
        <w:rPr>
          <w:rFonts w:hint="eastAsia" w:ascii="仿宋" w:hAnsi="仿宋" w:eastAsia="仿宋"/>
          <w:sz w:val="32"/>
          <w:szCs w:val="32"/>
          <w:lang w:val="en-US" w:eastAsia="zh-CN"/>
        </w:rPr>
        <w:t>高</w:t>
      </w:r>
      <w:r>
        <w:rPr>
          <w:rFonts w:hint="eastAsia" w:ascii="仿宋" w:hAnsi="仿宋" w:eastAsia="仿宋"/>
          <w:sz w:val="32"/>
          <w:szCs w:val="32"/>
        </w:rPr>
        <w:t>效。</w:t>
      </w:r>
    </w:p>
    <w:p>
      <w:pPr>
        <w:spacing w:after="0" w:line="560" w:lineRule="exact"/>
        <w:ind w:firstLine="640" w:firstLineChars="200"/>
        <w:rPr>
          <w:rFonts w:hint="eastAsia" w:ascii="方正仿宋简体" w:hAnsi="方正仿宋简体" w:eastAsia="方正仿宋简体" w:cs="方正仿宋简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外宣工作</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（一）项目基本情况</w:t>
      </w:r>
    </w:p>
    <w:p>
      <w:pPr>
        <w:spacing w:line="600" w:lineRule="exact"/>
        <w:ind w:firstLine="640" w:firstLineChars="200"/>
        <w:rPr>
          <w:rFonts w:ascii="仿宋_GB2312" w:hAnsi="宋体" w:eastAsia="仿宋_GB2312"/>
          <w:sz w:val="32"/>
          <w:szCs w:val="32"/>
          <w:lang w:val="zh-CN"/>
        </w:rPr>
      </w:pPr>
      <w:r>
        <w:rPr>
          <w:rFonts w:hint="eastAsia" w:ascii="仿宋" w:hAnsi="仿宋" w:eastAsia="仿宋"/>
          <w:sz w:val="32"/>
          <w:szCs w:val="32"/>
        </w:rPr>
        <w:t>1．项目主管部门的职能</w:t>
      </w:r>
      <w:r>
        <w:rPr>
          <w:rFonts w:hint="eastAsia" w:ascii="仿宋" w:hAnsi="仿宋" w:eastAsia="仿宋"/>
          <w:sz w:val="32"/>
          <w:szCs w:val="32"/>
          <w:lang w:eastAsia="zh-CN"/>
        </w:rPr>
        <w:t>。</w:t>
      </w:r>
      <w:r>
        <w:rPr>
          <w:rFonts w:hint="eastAsia" w:ascii="仿宋_GB2312" w:hAnsi="宋体" w:eastAsia="仿宋_GB2312"/>
          <w:sz w:val="32"/>
          <w:szCs w:val="32"/>
          <w:lang w:val="en-US" w:eastAsia="zh-CN"/>
        </w:rPr>
        <w:t>按照“三定”方案，中共巴中市委宣传部具有</w:t>
      </w:r>
      <w:r>
        <w:rPr>
          <w:rFonts w:hint="default" w:ascii="Calibri" w:hAnsi="Calibri" w:eastAsia="仿宋_GB2312" w:cs="Times New Roman"/>
          <w:b w:val="0"/>
          <w:bCs w:val="0"/>
          <w:color w:val="auto"/>
          <w:kern w:val="0"/>
          <w:sz w:val="32"/>
          <w:szCs w:val="32"/>
          <w:shd w:val="clear" w:color="auto" w:fill="FFFFFF"/>
          <w:lang w:val="en-US" w:eastAsia="zh-CN" w:bidi="ar-SA"/>
        </w:rPr>
        <w:t>统筹分析研判和引导社会舆论，指导协调市级新闻单位工作，负责组织协调重大新闻宣传活动和重大突发公共事件应急新闻工作</w:t>
      </w:r>
      <w:r>
        <w:rPr>
          <w:rFonts w:hint="eastAsia" w:ascii="Calibri" w:hAnsi="Calibri" w:eastAsia="仿宋_GB2312" w:cs="Times New Roman"/>
          <w:b w:val="0"/>
          <w:bCs w:val="0"/>
          <w:color w:val="auto"/>
          <w:kern w:val="0"/>
          <w:sz w:val="32"/>
          <w:szCs w:val="32"/>
          <w:shd w:val="clear" w:color="auto" w:fill="FFFFFF"/>
          <w:lang w:val="en-US" w:eastAsia="zh-CN" w:bidi="ar-SA"/>
        </w:rPr>
        <w:t>。</w:t>
      </w:r>
      <w:r>
        <w:rPr>
          <w:rFonts w:hint="default" w:ascii="Calibri" w:hAnsi="Calibri" w:eastAsia="仿宋_GB2312" w:cs="Times New Roman"/>
          <w:b w:val="0"/>
          <w:bCs w:val="0"/>
          <w:color w:val="auto"/>
          <w:kern w:val="0"/>
          <w:sz w:val="32"/>
          <w:szCs w:val="32"/>
          <w:shd w:val="clear" w:color="auto" w:fill="FFFFFF"/>
          <w:lang w:val="en-US" w:eastAsia="zh-CN" w:bidi="ar-SA"/>
        </w:rPr>
        <w:t>统筹协调对外宣传工作，组织指导重大对外宣传活动和对外文化交流工作。负责联系中央、省和市外新闻单位及驻巴机构，会同有关部门做好境外来访记者采访事务方面的工作。负责人权宣传工作的组织协调，会同有关部门组织涉及反邪教等方面的对外宣传和舆论斗争工作</w:t>
      </w:r>
      <w:r>
        <w:rPr>
          <w:rFonts w:hint="eastAsia" w:ascii="Calibri" w:hAnsi="Calibri" w:eastAsia="仿宋_GB2312" w:cs="Times New Roman"/>
          <w:b w:val="0"/>
          <w:bCs w:val="0"/>
          <w:color w:val="auto"/>
          <w:kern w:val="0"/>
          <w:sz w:val="32"/>
          <w:szCs w:val="32"/>
          <w:shd w:val="clear" w:color="auto" w:fill="FFFFFF"/>
          <w:lang w:val="en-US" w:eastAsia="zh-CN" w:bidi="ar-SA"/>
        </w:rPr>
        <w:t>等</w:t>
      </w:r>
      <w:r>
        <w:rPr>
          <w:rFonts w:hint="eastAsia" w:ascii="仿宋_GB2312" w:hAnsi="宋体" w:eastAsia="仿宋_GB2312"/>
          <w:sz w:val="32"/>
          <w:szCs w:val="32"/>
          <w:lang w:val="zh-CN"/>
        </w:rPr>
        <w:t>职能。</w:t>
      </w:r>
    </w:p>
    <w:p>
      <w:pPr>
        <w:spacing w:line="600" w:lineRule="exact"/>
        <w:ind w:firstLine="640" w:firstLineChars="200"/>
        <w:rPr>
          <w:rFonts w:hint="eastAsia" w:ascii="仿宋_GB2312" w:hAnsi="宋体" w:eastAsia="仿宋_GB2312"/>
          <w:sz w:val="32"/>
          <w:szCs w:val="32"/>
          <w:lang w:val="en-US" w:eastAsia="zh-CN"/>
        </w:rPr>
      </w:pPr>
      <w:r>
        <w:rPr>
          <w:rFonts w:hint="eastAsia" w:ascii="仿宋" w:hAnsi="仿宋" w:eastAsia="仿宋"/>
          <w:sz w:val="32"/>
          <w:szCs w:val="32"/>
        </w:rPr>
        <w:t>2．项目立项、资金申报的依据。</w:t>
      </w:r>
      <w:r>
        <w:rPr>
          <w:rFonts w:hint="eastAsia" w:ascii="仿宋_GB2312" w:hAnsi="宋体" w:eastAsia="仿宋_GB2312"/>
          <w:sz w:val="32"/>
          <w:szCs w:val="32"/>
          <w:lang w:val="en-US" w:eastAsia="zh-CN"/>
        </w:rPr>
        <w:t>市委、市政府工作要求及对外宣传工作需要，2017年纳入年初发展类项目预算。</w:t>
      </w:r>
    </w:p>
    <w:p>
      <w:pPr>
        <w:spacing w:line="600" w:lineRule="exact"/>
        <w:ind w:firstLine="640" w:firstLineChars="200"/>
        <w:rPr>
          <w:rFonts w:hint="eastAsia" w:ascii="仿宋" w:hAnsi="仿宋" w:eastAsia="仿宋"/>
          <w:color w:val="FF0000"/>
          <w:sz w:val="32"/>
          <w:szCs w:val="32"/>
          <w:lang w:eastAsia="zh-CN"/>
        </w:rPr>
      </w:pPr>
      <w:r>
        <w:rPr>
          <w:rFonts w:hint="eastAsia" w:ascii="仿宋" w:hAnsi="仿宋" w:eastAsia="仿宋"/>
          <w:sz w:val="32"/>
          <w:szCs w:val="32"/>
        </w:rPr>
        <w:t>3．资金管理办法制定情况，资金支持具体项目的条件、范围与支持方式概况。按照《政府会计制度》及规范项目会计核算管理。资金使用按照单位内部财务管理制度与资金使用审批流程执行。</w:t>
      </w:r>
      <w:r>
        <w:rPr>
          <w:rFonts w:hint="eastAsia" w:ascii="仿宋" w:hAnsi="仿宋" w:eastAsia="仿宋"/>
          <w:color w:val="FF0000"/>
          <w:sz w:val="32"/>
          <w:szCs w:val="32"/>
        </w:rPr>
        <w:t>资金</w:t>
      </w:r>
      <w:r>
        <w:rPr>
          <w:rFonts w:hint="eastAsia" w:ascii="仿宋" w:hAnsi="仿宋" w:eastAsia="仿宋"/>
          <w:color w:val="FF0000"/>
          <w:sz w:val="32"/>
          <w:szCs w:val="32"/>
          <w:lang w:val="en-US" w:eastAsia="zh-CN"/>
        </w:rPr>
        <w:t>来源</w:t>
      </w:r>
      <w:r>
        <w:rPr>
          <w:rFonts w:hint="eastAsia" w:ascii="仿宋" w:hAnsi="仿宋" w:eastAsia="仿宋"/>
          <w:color w:val="FF0000"/>
          <w:sz w:val="32"/>
          <w:szCs w:val="32"/>
        </w:rPr>
        <w:t>地方财政一般公共预算</w:t>
      </w:r>
      <w:r>
        <w:rPr>
          <w:rFonts w:hint="eastAsia" w:ascii="仿宋" w:hAnsi="仿宋" w:eastAsia="仿宋"/>
          <w:color w:val="FF0000"/>
          <w:sz w:val="32"/>
          <w:szCs w:val="32"/>
          <w:lang w:eastAsia="zh-CN"/>
        </w:rPr>
        <w:t>资金。</w:t>
      </w:r>
    </w:p>
    <w:p>
      <w:pPr>
        <w:spacing w:line="600" w:lineRule="exact"/>
        <w:ind w:firstLine="640" w:firstLineChars="200"/>
        <w:rPr>
          <w:rFonts w:hint="default" w:ascii="Times New Roman" w:hAnsi="Times New Roman" w:eastAsia="仿宋_GB2312" w:cs="Times New Roman"/>
          <w:sz w:val="32"/>
          <w:szCs w:val="32"/>
          <w:lang w:val="zh-CN"/>
        </w:rPr>
      </w:pPr>
      <w:r>
        <w:rPr>
          <w:rFonts w:hint="eastAsia" w:ascii="仿宋" w:hAnsi="仿宋" w:eastAsia="仿宋"/>
          <w:sz w:val="32"/>
          <w:szCs w:val="32"/>
        </w:rPr>
        <w:t>4．资金分配的原则及考虑因素</w:t>
      </w:r>
      <w:r>
        <w:rPr>
          <w:rFonts w:hint="eastAsia" w:ascii="仿宋" w:hAnsi="仿宋" w:eastAsia="仿宋"/>
          <w:sz w:val="32"/>
          <w:szCs w:val="32"/>
          <w:lang w:eastAsia="zh-CN"/>
        </w:rPr>
        <w:t>。</w:t>
      </w:r>
      <w:r>
        <w:rPr>
          <w:rFonts w:hint="default" w:ascii="Times New Roman" w:hAnsi="Times New Roman" w:eastAsia="仿宋_GB2312" w:cs="Times New Roman"/>
          <w:sz w:val="32"/>
          <w:szCs w:val="32"/>
          <w:lang w:val="zh-CN"/>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zh-CN"/>
        </w:rPr>
        <w:t>年年初</w:t>
      </w:r>
      <w:r>
        <w:rPr>
          <w:rFonts w:hint="eastAsia" w:ascii="Times New Roman" w:hAnsi="Times New Roman" w:eastAsia="仿宋_GB2312" w:cs="Times New Roman"/>
          <w:sz w:val="32"/>
          <w:szCs w:val="32"/>
          <w:lang w:val="en-US" w:eastAsia="zh-CN"/>
        </w:rPr>
        <w:t>外宣工作项目</w:t>
      </w:r>
      <w:r>
        <w:rPr>
          <w:rFonts w:hint="default" w:ascii="Times New Roman" w:hAnsi="Times New Roman" w:eastAsia="仿宋_GB2312" w:cs="Times New Roman"/>
          <w:sz w:val="32"/>
          <w:szCs w:val="32"/>
          <w:lang w:val="zh-CN"/>
        </w:rPr>
        <w:t>预算</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rPr>
        <w:t>0万元。根据年初预算安排，该项目资金主要用于</w:t>
      </w:r>
      <w:r>
        <w:rPr>
          <w:rFonts w:hint="eastAsia" w:ascii="Times New Roman" w:hAnsi="Times New Roman" w:eastAsia="仿宋_GB2312" w:cs="Times New Roman"/>
          <w:sz w:val="32"/>
          <w:szCs w:val="32"/>
          <w:lang w:val="en-US" w:eastAsia="zh-CN"/>
        </w:rPr>
        <w:t>《川报观察》（80万元）及中央、</w:t>
      </w:r>
      <w:r>
        <w:rPr>
          <w:rFonts w:hint="default" w:ascii="Times New Roman" w:hAnsi="Times New Roman" w:eastAsia="仿宋_GB2312" w:cs="Times New Roman"/>
          <w:sz w:val="32"/>
          <w:szCs w:val="32"/>
          <w:lang w:val="zh-CN"/>
        </w:rPr>
        <w:t>省</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zh-CN"/>
        </w:rPr>
        <w:t>主流媒体宣传合作</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70万元</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和新闻工作公务出行（10万元）及媒体记者采访公务接待（10万元）</w:t>
      </w:r>
      <w:r>
        <w:rPr>
          <w:rFonts w:hint="default" w:ascii="Times New Roman" w:hAnsi="Times New Roman" w:eastAsia="仿宋_GB2312" w:cs="Times New Roman"/>
          <w:sz w:val="32"/>
          <w:szCs w:val="32"/>
          <w:lang w:val="zh-CN"/>
        </w:rPr>
        <w:t>支出。</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通过中央、省级主流新闻媒体，宣传总结推广巴中脱贫攻坚经验，邀请“走向我们的小康生活”“百县千村行”“大干快上，干出巴中加速度”等主题采访活动走进巴中，展现巴中振兴发展成就、脱贫攻坚成效等，通过在人民日报、光明日报、经济日报、四川日报等重头版面刊发巴中综合稿件。展现制作新媒体产品等，宣传巴中新时代脱贫攻坚精神，宣传巴中经济社会发展成效，提升巴中影响力。</w:t>
      </w:r>
    </w:p>
    <w:p>
      <w:pPr>
        <w:adjustRightInd w:val="0"/>
        <w:snapToGrid w:val="0"/>
        <w:spacing w:line="600" w:lineRule="exact"/>
        <w:ind w:firstLine="720"/>
        <w:rPr>
          <w:rFonts w:hint="eastAsia" w:ascii="仿宋_GB2312" w:hAnsi="宋体" w:eastAsia="仿宋_GB2312" w:cs="Times New Roman"/>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r>
        <w:rPr>
          <w:rFonts w:hint="eastAsia" w:ascii="仿宋_GB2312" w:hAnsi="宋体" w:eastAsia="仿宋_GB2312"/>
          <w:sz w:val="32"/>
          <w:szCs w:val="32"/>
          <w:lang w:val="en-US" w:eastAsia="zh-CN"/>
        </w:rPr>
        <w:t>预</w:t>
      </w:r>
      <w:r>
        <w:rPr>
          <w:rFonts w:hint="eastAsia" w:ascii="仿宋_GB2312" w:hAnsi="宋体" w:eastAsia="仿宋_GB2312" w:cs="Times New Roman"/>
          <w:sz w:val="32"/>
          <w:szCs w:val="32"/>
          <w:lang w:val="en-US" w:eastAsia="zh-CN"/>
        </w:rPr>
        <w:t>计在2020.1-2020.12，</w:t>
      </w:r>
      <w:r>
        <w:rPr>
          <w:rFonts w:hint="eastAsia" w:ascii="仿宋_GB2312" w:hAnsi="宋体" w:eastAsia="仿宋_GB2312" w:cs="Times New Roman"/>
          <w:sz w:val="32"/>
          <w:szCs w:val="32"/>
          <w:lang w:val="zh-CN" w:eastAsia="zh-CN"/>
        </w:rPr>
        <w:t>合</w:t>
      </w:r>
      <w:r>
        <w:rPr>
          <w:rFonts w:hint="eastAsia" w:ascii="仿宋_GB2312" w:hAnsi="宋体" w:eastAsia="仿宋_GB2312" w:cs="Times New Roman"/>
          <w:sz w:val="32"/>
          <w:szCs w:val="32"/>
          <w:lang w:val="zh-CN"/>
        </w:rPr>
        <w:t>作</w:t>
      </w:r>
      <w:r>
        <w:rPr>
          <w:rFonts w:hint="eastAsia" w:ascii="仿宋_GB2312" w:hAnsi="宋体" w:eastAsia="仿宋_GB2312" w:cs="Times New Roman"/>
          <w:sz w:val="32"/>
          <w:szCs w:val="32"/>
          <w:lang w:val="en-US" w:eastAsia="zh-CN"/>
        </w:rPr>
        <w:t>省级</w:t>
      </w:r>
      <w:r>
        <w:rPr>
          <w:rFonts w:hint="eastAsia" w:ascii="仿宋_GB2312" w:hAnsi="宋体" w:eastAsia="仿宋_GB2312" w:cs="Times New Roman"/>
          <w:sz w:val="32"/>
          <w:szCs w:val="32"/>
          <w:lang w:val="zh-CN"/>
        </w:rPr>
        <w:t>及以上媒体3家</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宣传巴中典型事迹10起</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宣传巴中新闻图片10件</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推出综合类稿件2000余篇，</w:t>
      </w:r>
      <w:r>
        <w:rPr>
          <w:rFonts w:hint="eastAsia" w:ascii="仿宋_GB2312" w:hAnsi="宋体" w:eastAsia="仿宋_GB2312" w:cs="Times New Roman"/>
          <w:sz w:val="32"/>
          <w:szCs w:val="32"/>
          <w:lang w:val="en-US" w:eastAsia="zh-CN"/>
        </w:rPr>
        <w:t>全面</w:t>
      </w:r>
      <w:r>
        <w:rPr>
          <w:rFonts w:hint="eastAsia" w:ascii="仿宋_GB2312" w:hAnsi="宋体" w:eastAsia="仿宋_GB2312" w:cs="Times New Roman"/>
          <w:sz w:val="32"/>
          <w:szCs w:val="32"/>
          <w:lang w:val="zh-CN"/>
        </w:rPr>
        <w:t>提升巴中知名度、</w:t>
      </w:r>
      <w:r>
        <w:rPr>
          <w:rFonts w:hint="eastAsia" w:ascii="仿宋_GB2312" w:hAnsi="宋体" w:eastAsia="仿宋_GB2312" w:cs="Times New Roman"/>
          <w:sz w:val="32"/>
          <w:szCs w:val="32"/>
          <w:lang w:val="en-US" w:eastAsia="zh-CN"/>
        </w:rPr>
        <w:t>美誉度</w:t>
      </w:r>
      <w:r>
        <w:rPr>
          <w:rFonts w:hint="eastAsia" w:ascii="仿宋_GB2312" w:hAnsi="宋体" w:eastAsia="仿宋_GB2312" w:cs="Times New Roman"/>
          <w:sz w:val="32"/>
          <w:szCs w:val="32"/>
          <w:lang w:val="zh-CN"/>
        </w:rPr>
        <w:t>和影响力。</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．分析评价申报内容与实际相符，申报目标</w:t>
      </w:r>
      <w:r>
        <w:rPr>
          <w:rFonts w:hint="eastAsia" w:ascii="仿宋_GB2312" w:hAnsi="宋体" w:eastAsia="仿宋_GB2312"/>
          <w:sz w:val="32"/>
          <w:szCs w:val="32"/>
          <w:lang w:val="en-US" w:eastAsia="zh-CN"/>
        </w:rPr>
        <w:t>合</w:t>
      </w:r>
      <w:r>
        <w:rPr>
          <w:rFonts w:hint="eastAsia" w:ascii="仿宋_GB2312" w:hAnsi="宋体" w:eastAsia="仿宋_GB2312"/>
          <w:sz w:val="32"/>
          <w:szCs w:val="32"/>
          <w:lang w:val="zh-CN"/>
        </w:rPr>
        <w:t>理可行。</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（三）项目自评步骤及方法</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具体采用“三步评审法”开展项目绩效评价，首先由项目执行科室（单位）对项目实施情况开展初评，再由宣传部分管领导牵头对项目执行科室（单位）初评情况进行核实验收，最后由宣传部项目绩效评价小组对项目绩效进行终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（一）项目资金申报及批复情况</w:t>
      </w:r>
    </w:p>
    <w:p>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依据“政府财政管理信息系统指标下达及支付申请明细”表，项目经费为市本级财政全额拨款，2020年初申报“外宣工作</w:t>
      </w:r>
      <w:r>
        <w:rPr>
          <w:rFonts w:hint="eastAsia" w:ascii="仿宋" w:hAnsi="仿宋" w:eastAsia="仿宋"/>
          <w:sz w:val="32"/>
          <w:szCs w:val="32"/>
          <w:lang w:eastAsia="zh-CN"/>
        </w:rPr>
        <w:t>”</w:t>
      </w:r>
      <w:r>
        <w:rPr>
          <w:rFonts w:hint="eastAsia" w:ascii="仿宋" w:hAnsi="仿宋" w:eastAsia="仿宋" w:cs="仿宋"/>
          <w:b w:val="0"/>
          <w:bCs w:val="0"/>
          <w:sz w:val="32"/>
          <w:szCs w:val="32"/>
          <w:lang w:val="en-US" w:eastAsia="zh-CN"/>
        </w:rPr>
        <w:t>项目经费170万元，市财政下达资金170万元。</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 w:hAnsi="仿宋" w:eastAsia="仿宋" w:cs="仿宋"/>
          <w:b w:val="0"/>
          <w:bCs w:val="0"/>
          <w:sz w:val="32"/>
          <w:szCs w:val="32"/>
          <w:lang w:val="en-US" w:eastAsia="zh-CN"/>
        </w:rPr>
        <w:t>2020年初申报“外宣工作</w:t>
      </w:r>
      <w:r>
        <w:rPr>
          <w:rFonts w:hint="eastAsia" w:ascii="仿宋" w:hAnsi="仿宋" w:eastAsia="仿宋"/>
          <w:sz w:val="32"/>
          <w:szCs w:val="32"/>
          <w:lang w:eastAsia="zh-CN"/>
        </w:rPr>
        <w:t>”</w:t>
      </w:r>
      <w:r>
        <w:rPr>
          <w:rFonts w:hint="eastAsia" w:ascii="仿宋" w:hAnsi="仿宋" w:eastAsia="仿宋" w:cs="仿宋"/>
          <w:b w:val="0"/>
          <w:bCs w:val="0"/>
          <w:sz w:val="32"/>
          <w:szCs w:val="32"/>
          <w:lang w:val="en-US" w:eastAsia="zh-CN"/>
        </w:rPr>
        <w:t>项目经费170万元，均为</w:t>
      </w:r>
      <w:r>
        <w:rPr>
          <w:rFonts w:hint="eastAsia" w:ascii="仿宋" w:hAnsi="仿宋" w:eastAsia="仿宋"/>
          <w:color w:val="000000"/>
          <w:sz w:val="32"/>
          <w:szCs w:val="32"/>
        </w:rPr>
        <w:t>一般公共预算财政拨款</w:t>
      </w:r>
      <w:r>
        <w:rPr>
          <w:rFonts w:hint="eastAsia" w:ascii="仿宋_GB2312" w:hAnsi="宋体" w:eastAsia="仿宋_GB2312"/>
          <w:sz w:val="32"/>
          <w:szCs w:val="32"/>
          <w:lang w:val="zh-CN"/>
        </w:rPr>
        <w:t>。</w:t>
      </w:r>
    </w:p>
    <w:p>
      <w:pPr>
        <w:spacing w:line="600" w:lineRule="exact"/>
        <w:ind w:firstLine="640" w:firstLineChars="200"/>
        <w:rPr>
          <w:rFonts w:hint="eastAsia" w:ascii="仿宋" w:hAnsi="仿宋" w:eastAsia="仿宋" w:cs="仿宋"/>
          <w:b w:val="0"/>
          <w:bCs w:val="0"/>
          <w:sz w:val="32"/>
          <w:szCs w:val="32"/>
          <w:lang w:val="en-US" w:eastAsia="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cs="仿宋"/>
          <w:b w:val="0"/>
          <w:bCs w:val="0"/>
          <w:sz w:val="32"/>
          <w:szCs w:val="32"/>
          <w:lang w:val="en-US" w:eastAsia="zh-CN"/>
        </w:rPr>
        <w:t>2020年财政预算安排“</w:t>
      </w:r>
      <w:r>
        <w:rPr>
          <w:rFonts w:hint="eastAsia" w:ascii="仿宋" w:hAnsi="仿宋" w:eastAsia="仿宋"/>
          <w:sz w:val="32"/>
          <w:szCs w:val="32"/>
          <w:lang w:val="en-US" w:eastAsia="zh-CN"/>
        </w:rPr>
        <w:t>对外宣传</w:t>
      </w:r>
      <w:r>
        <w:rPr>
          <w:rFonts w:hint="eastAsia" w:ascii="仿宋" w:hAnsi="仿宋" w:eastAsia="仿宋"/>
          <w:sz w:val="32"/>
          <w:szCs w:val="32"/>
          <w:lang w:eastAsia="zh-CN"/>
        </w:rPr>
        <w:t>”</w:t>
      </w:r>
      <w:r>
        <w:rPr>
          <w:rFonts w:hint="eastAsia" w:ascii="仿宋" w:hAnsi="仿宋" w:eastAsia="仿宋"/>
          <w:sz w:val="32"/>
          <w:szCs w:val="32"/>
          <w:lang w:val="en-US" w:eastAsia="zh-CN"/>
        </w:rPr>
        <w:t>项目经费170</w:t>
      </w:r>
      <w:r>
        <w:rPr>
          <w:rFonts w:hint="eastAsia" w:ascii="仿宋" w:hAnsi="仿宋" w:eastAsia="仿宋" w:cs="仿宋"/>
          <w:b w:val="0"/>
          <w:bCs w:val="0"/>
          <w:sz w:val="32"/>
          <w:szCs w:val="32"/>
          <w:lang w:val="en-US" w:eastAsia="zh-CN"/>
        </w:rPr>
        <w:t>万元全部到位，资金到位率100%。</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default" w:ascii="Times New Roman" w:hAnsi="Times New Roman" w:eastAsia="仿宋_GB2312" w:cs="Times New Roman"/>
          <w:sz w:val="32"/>
          <w:szCs w:val="32"/>
          <w:lang w:val="zh-CN"/>
        </w:rPr>
        <w:t>项目资金主要用于</w:t>
      </w:r>
      <w:r>
        <w:rPr>
          <w:rFonts w:hint="eastAsia" w:ascii="Times New Roman" w:hAnsi="Times New Roman" w:eastAsia="仿宋_GB2312" w:cs="Times New Roman"/>
          <w:sz w:val="32"/>
          <w:szCs w:val="32"/>
          <w:lang w:val="en-US" w:eastAsia="zh-CN"/>
        </w:rPr>
        <w:t>《川报观察》合作经费80万元，新闻工作公务出行开支10万元，媒体记者采访公务接待开支10万元，中央、</w:t>
      </w:r>
      <w:r>
        <w:rPr>
          <w:rFonts w:hint="default" w:ascii="Times New Roman" w:hAnsi="Times New Roman" w:eastAsia="仿宋_GB2312" w:cs="Times New Roman"/>
          <w:sz w:val="32"/>
          <w:szCs w:val="32"/>
          <w:lang w:val="zh-CN"/>
        </w:rPr>
        <w:t>省</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zh-CN"/>
        </w:rPr>
        <w:t>主流媒体宣传合作</w:t>
      </w:r>
      <w:r>
        <w:rPr>
          <w:rFonts w:hint="eastAsia" w:ascii="Times New Roman" w:hAnsi="Times New Roman" w:eastAsia="仿宋_GB2312" w:cs="Times New Roman"/>
          <w:sz w:val="32"/>
          <w:szCs w:val="32"/>
          <w:lang w:val="en-US" w:eastAsia="zh-CN"/>
        </w:rPr>
        <w:t>开支70万元</w:t>
      </w:r>
      <w:r>
        <w:rPr>
          <w:rFonts w:hint="default" w:ascii="Times New Roman" w:hAnsi="Times New Roman" w:eastAsia="仿宋_GB2312" w:cs="Times New Roman"/>
          <w:sz w:val="32"/>
          <w:szCs w:val="32"/>
          <w:lang w:val="zh-CN"/>
        </w:rPr>
        <w:t>。</w:t>
      </w:r>
      <w:r>
        <w:rPr>
          <w:rFonts w:hint="eastAsia" w:ascii="仿宋_GB2312" w:hAnsi="宋体" w:eastAsia="仿宋_GB2312"/>
          <w:sz w:val="32"/>
          <w:szCs w:val="32"/>
          <w:lang w:val="zh-CN"/>
        </w:rPr>
        <w:t>资金使用安全、规范及有效，支付范围、支付标准、支付进度、支付依据等合规合法、</w:t>
      </w:r>
      <w:r>
        <w:rPr>
          <w:rFonts w:hint="eastAsia" w:ascii="仿宋_GB2312" w:hAnsi="宋体" w:eastAsia="仿宋_GB2312"/>
          <w:sz w:val="32"/>
          <w:szCs w:val="32"/>
          <w:lang w:val="en-US" w:eastAsia="zh-CN"/>
        </w:rPr>
        <w:t>且与</w:t>
      </w:r>
      <w:r>
        <w:rPr>
          <w:rFonts w:hint="eastAsia" w:ascii="仿宋_GB2312" w:hAnsi="宋体" w:eastAsia="仿宋_GB2312"/>
          <w:sz w:val="32"/>
          <w:szCs w:val="32"/>
          <w:lang w:val="zh-CN"/>
        </w:rPr>
        <w:t>预算相符。</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（三）项目财务管理情况</w:t>
      </w:r>
    </w:p>
    <w:p>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中共巴中市委宣传部严格遵守《政府会计制度》，建立健全财务制度，印制《财务管理暂行办法》，严格单位内部财务管理与审批，</w:t>
      </w:r>
      <w:r>
        <w:rPr>
          <w:rFonts w:hint="eastAsia" w:ascii="仿宋_GB2312" w:hAnsi="宋体" w:eastAsia="仿宋_GB2312"/>
          <w:sz w:val="32"/>
          <w:szCs w:val="32"/>
          <w:lang w:val="zh-CN"/>
        </w:rPr>
        <w:t>账务处理及时，会计核算规范</w:t>
      </w:r>
      <w:r>
        <w:rPr>
          <w:rFonts w:hint="eastAsia" w:ascii="仿宋" w:hAnsi="仿宋" w:eastAsia="仿宋" w:cs="仿宋"/>
          <w:b w:val="0"/>
          <w:bCs w:val="0"/>
          <w:sz w:val="32"/>
          <w:szCs w:val="32"/>
          <w:lang w:val="en-US" w:eastAsia="zh-CN"/>
        </w:rPr>
        <w:t>，整体运转稳健。</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（一）项目组织架构及实施流程</w:t>
      </w:r>
    </w:p>
    <w:p>
      <w:pPr>
        <w:spacing w:after="0" w:line="56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该项目实施主要是</w:t>
      </w:r>
      <w:r>
        <w:rPr>
          <w:rFonts w:hint="eastAsia" w:ascii="Times New Roman" w:hAnsi="Times New Roman" w:eastAsia="仿宋_GB2312" w:cs="Times New Roman"/>
          <w:sz w:val="32"/>
          <w:szCs w:val="32"/>
          <w:lang w:val="en-US" w:eastAsia="zh-CN"/>
        </w:rPr>
        <w:t>市委外宣办（市政府新闻办）、</w:t>
      </w:r>
      <w:r>
        <w:rPr>
          <w:rFonts w:hint="default" w:ascii="Times New Roman" w:hAnsi="Times New Roman" w:eastAsia="仿宋_GB2312" w:cs="Times New Roman"/>
          <w:sz w:val="32"/>
          <w:szCs w:val="32"/>
          <w:lang w:val="zh-CN"/>
        </w:rPr>
        <w:t>新闻科（外宣科）</w:t>
      </w:r>
      <w:r>
        <w:rPr>
          <w:rFonts w:hint="eastAsia" w:ascii="Times New Roman" w:hAnsi="Times New Roman" w:eastAsia="仿宋_GB2312" w:cs="Times New Roman"/>
          <w:sz w:val="32"/>
          <w:szCs w:val="32"/>
          <w:lang w:val="en-US" w:eastAsia="zh-CN"/>
        </w:rPr>
        <w:t>等单位（科室）</w:t>
      </w:r>
      <w:r>
        <w:rPr>
          <w:rFonts w:hint="default" w:ascii="Times New Roman" w:hAnsi="Times New Roman" w:eastAsia="仿宋_GB2312" w:cs="Times New Roman"/>
          <w:sz w:val="32"/>
          <w:szCs w:val="32"/>
          <w:lang w:val="zh-CN"/>
        </w:rPr>
        <w:t>具体负责项目的</w:t>
      </w:r>
      <w:r>
        <w:rPr>
          <w:rFonts w:hint="eastAsia"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val="zh-CN"/>
        </w:rPr>
        <w:t>落实、监管考核。主要用于媒体合作、</w:t>
      </w:r>
      <w:r>
        <w:rPr>
          <w:rFonts w:hint="eastAsia" w:ascii="Times New Roman" w:hAnsi="Times New Roman" w:eastAsia="仿宋_GB2312" w:cs="Times New Roman"/>
          <w:sz w:val="32"/>
          <w:szCs w:val="32"/>
          <w:lang w:val="en-US" w:eastAsia="zh-CN"/>
        </w:rPr>
        <w:t>新闻</w:t>
      </w:r>
      <w:r>
        <w:rPr>
          <w:rFonts w:hint="default" w:ascii="Times New Roman" w:hAnsi="Times New Roman" w:eastAsia="仿宋_GB2312" w:cs="Times New Roman"/>
          <w:sz w:val="32"/>
          <w:szCs w:val="32"/>
          <w:lang w:val="zh-CN"/>
        </w:rPr>
        <w:t>宣传、媒体接待</w:t>
      </w:r>
      <w:r>
        <w:rPr>
          <w:rFonts w:hint="eastAsia" w:ascii="Times New Roman" w:hAnsi="Times New Roman" w:eastAsia="仿宋_GB2312" w:cs="Times New Roman"/>
          <w:sz w:val="32"/>
          <w:szCs w:val="32"/>
          <w:lang w:val="en-US" w:eastAsia="zh-CN"/>
        </w:rPr>
        <w:t>和外宣工作公务出行</w:t>
      </w:r>
      <w:r>
        <w:rPr>
          <w:rFonts w:hint="default" w:ascii="Times New Roman" w:hAnsi="Times New Roman" w:eastAsia="仿宋_GB2312" w:cs="Times New Roman"/>
          <w:sz w:val="32"/>
          <w:szCs w:val="32"/>
          <w:lang w:val="zh-CN"/>
        </w:rPr>
        <w:t>等相关费用</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en-US" w:eastAsia="zh-CN"/>
        </w:rPr>
        <w:t>并按照一事一议原则组织实施，根据工作需要，具体由项目实施单位（科室）提出合作方案，提请分管部领导审核，报分管财务部领导审批，其中金额超过10万元的合作项目，需报部长审批并经部务会研究同意后，按相关规定和程序实施。</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w:t>
      </w:r>
      <w:r>
        <w:rPr>
          <w:rFonts w:hint="eastAsia" w:ascii="方正楷体简体" w:hAnsi="方正楷体简体" w:eastAsia="方正楷体简体" w:cs="方正楷体简体"/>
          <w:color w:val="000000"/>
          <w:kern w:val="0"/>
          <w:sz w:val="32"/>
          <w:szCs w:val="32"/>
          <w:shd w:val="clear" w:color="auto" w:fill="FFFFFF"/>
          <w:lang w:val="en-US" w:eastAsia="zh-CN"/>
        </w:rPr>
        <w:t>二</w:t>
      </w:r>
      <w:r>
        <w:rPr>
          <w:rFonts w:hint="eastAsia" w:ascii="方正楷体简体" w:hAnsi="方正楷体简体" w:eastAsia="方正楷体简体" w:cs="方正楷体简体"/>
          <w:color w:val="000000"/>
          <w:kern w:val="0"/>
          <w:sz w:val="32"/>
          <w:szCs w:val="32"/>
          <w:shd w:val="clear" w:color="auto" w:fill="FFFFFF"/>
          <w:lang w:val="zh-CN"/>
        </w:rPr>
        <w:t>）项目管理情况</w:t>
      </w:r>
    </w:p>
    <w:p>
      <w:pPr>
        <w:spacing w:after="0" w:line="560" w:lineRule="exact"/>
        <w:ind w:firstLine="720"/>
        <w:rPr>
          <w:rFonts w:ascii="楷体_GB2312" w:hAnsi="宋体" w:eastAsia="楷体_GB2312"/>
          <w:b/>
          <w:sz w:val="32"/>
          <w:szCs w:val="32"/>
          <w:lang w:val="zh-CN"/>
        </w:rPr>
      </w:pPr>
      <w:r>
        <w:rPr>
          <w:rFonts w:hint="eastAsia" w:ascii="仿宋" w:hAnsi="仿宋" w:eastAsia="仿宋" w:cs="仿宋"/>
          <w:b w:val="0"/>
          <w:bCs w:val="0"/>
          <w:sz w:val="32"/>
          <w:szCs w:val="32"/>
          <w:lang w:val="en-US" w:eastAsia="zh-CN"/>
        </w:rPr>
        <w:t>项目实施，中共巴中市委宣传部严格按照《采购法》、四川省政府采购管理办法及采购目录规定加强项目管理，对纳入采购目录的，全部通过财政审批后进行采购，对未纳入采购目录的，按照</w:t>
      </w:r>
      <w:r>
        <w:rPr>
          <w:rFonts w:hint="default" w:ascii="Times New Roman" w:hAnsi="Times New Roman" w:eastAsia="仿宋_GB2312" w:cs="Times New Roman"/>
          <w:sz w:val="32"/>
          <w:szCs w:val="32"/>
        </w:rPr>
        <w:t>《中共巴中市委宣传部财务管理办法》</w:t>
      </w:r>
      <w:r>
        <w:rPr>
          <w:rFonts w:hint="eastAsia" w:ascii="Times New Roman" w:hAnsi="Times New Roman" w:eastAsia="仿宋_GB2312" w:cs="Times New Roman"/>
          <w:sz w:val="32"/>
          <w:szCs w:val="32"/>
          <w:lang w:val="en-US" w:eastAsia="zh-CN"/>
        </w:rPr>
        <w:t>等内控制度</w:t>
      </w:r>
      <w:r>
        <w:rPr>
          <w:rFonts w:hint="eastAsia" w:ascii="仿宋" w:hAnsi="仿宋" w:eastAsia="仿宋" w:cs="仿宋"/>
          <w:b w:val="0"/>
          <w:bCs w:val="0"/>
          <w:sz w:val="32"/>
          <w:szCs w:val="32"/>
          <w:lang w:val="en-US" w:eastAsia="zh-CN"/>
        </w:rPr>
        <w:t>规范执行。</w:t>
      </w:r>
      <w:r>
        <w:rPr>
          <w:rFonts w:hint="default" w:ascii="Times New Roman" w:hAnsi="Times New Roman" w:eastAsia="仿宋_GB2312" w:cs="Times New Roman"/>
          <w:sz w:val="32"/>
          <w:szCs w:val="32"/>
          <w:lang w:val="zh-CN"/>
        </w:rPr>
        <w:t>对于资金的支付统一按照财务管理制度进行开支</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业务科室及分管领导具体负责项目的落实情况，对真实性、合法（规）性负责。</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w:t>
      </w:r>
      <w:r>
        <w:rPr>
          <w:rFonts w:hint="eastAsia" w:ascii="方正楷体简体" w:hAnsi="方正楷体简体" w:eastAsia="方正楷体简体" w:cs="方正楷体简体"/>
          <w:color w:val="000000"/>
          <w:kern w:val="0"/>
          <w:sz w:val="32"/>
          <w:szCs w:val="32"/>
          <w:shd w:val="clear" w:color="auto" w:fill="FFFFFF"/>
          <w:lang w:val="en-US" w:eastAsia="zh-CN"/>
        </w:rPr>
        <w:t>三</w:t>
      </w:r>
      <w:r>
        <w:rPr>
          <w:rFonts w:hint="eastAsia" w:ascii="方正楷体简体" w:hAnsi="方正楷体简体" w:eastAsia="方正楷体简体" w:cs="方正楷体简体"/>
          <w:color w:val="000000"/>
          <w:kern w:val="0"/>
          <w:sz w:val="32"/>
          <w:szCs w:val="32"/>
          <w:shd w:val="clear" w:color="auto" w:fill="FFFFFF"/>
          <w:lang w:val="zh-CN"/>
        </w:rPr>
        <w:t>）项目监管情况</w:t>
      </w:r>
    </w:p>
    <w:p>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_GB2312" w:hAnsi="宋体" w:eastAsia="仿宋_GB2312"/>
          <w:sz w:val="32"/>
          <w:szCs w:val="32"/>
          <w:lang w:val="en-US" w:eastAsia="zh-CN"/>
        </w:rPr>
        <w:t>建立项目实施前前申报审批、项目实施过程中跟踪考评、项目实施结束后组织验收、全年结束后进行绩效评估的项目监管程序，确保了项目有序、高效推动落实，</w:t>
      </w:r>
      <w:r>
        <w:rPr>
          <w:rFonts w:hint="eastAsia" w:ascii="仿宋" w:hAnsi="仿宋" w:eastAsia="仿宋" w:cs="仿宋"/>
          <w:b w:val="0"/>
          <w:bCs w:val="0"/>
          <w:sz w:val="32"/>
          <w:szCs w:val="32"/>
          <w:lang w:val="en-US" w:eastAsia="zh-CN"/>
        </w:rPr>
        <w:t>有效杜绝了各种违规问题的发生。</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（一）项目完成情况</w:t>
      </w:r>
    </w:p>
    <w:p>
      <w:pPr>
        <w:adjustRightInd w:val="0"/>
        <w:snapToGrid w:val="0"/>
        <w:spacing w:line="600" w:lineRule="exact"/>
        <w:ind w:firstLine="72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2020.1-2020.12，邀请中宣部组织的“走进我们的小康生活”，省委宣传部组织的“大干快上，干出巴中加速度”等主题采访活动走进巴中，6</w:t>
      </w:r>
      <w:r>
        <w:rPr>
          <w:rFonts w:hint="eastAsia" w:ascii="仿宋_GB2312" w:hAnsi="宋体" w:eastAsia="仿宋_GB2312" w:cs="Times New Roman"/>
          <w:sz w:val="32"/>
          <w:szCs w:val="32"/>
          <w:lang w:val="zh-CN"/>
        </w:rPr>
        <w:t>家</w:t>
      </w:r>
      <w:r>
        <w:rPr>
          <w:rFonts w:hint="eastAsia" w:ascii="仿宋_GB2312" w:hAnsi="宋体" w:eastAsia="仿宋_GB2312" w:cs="Times New Roman"/>
          <w:sz w:val="32"/>
          <w:szCs w:val="32"/>
          <w:lang w:val="en-US" w:eastAsia="zh-CN"/>
        </w:rPr>
        <w:t>中央及省级主流媒体相继走进巴中，</w:t>
      </w:r>
      <w:r>
        <w:rPr>
          <w:rFonts w:hint="eastAsia" w:ascii="仿宋_GB2312" w:hAnsi="宋体" w:eastAsia="仿宋_GB2312" w:cs="Times New Roman"/>
          <w:sz w:val="32"/>
          <w:szCs w:val="32"/>
          <w:lang w:val="zh-CN"/>
        </w:rPr>
        <w:t>宣传巴中典型事迹10</w:t>
      </w:r>
      <w:r>
        <w:rPr>
          <w:rFonts w:hint="eastAsia" w:ascii="仿宋_GB2312" w:hAnsi="宋体" w:eastAsia="仿宋_GB2312" w:cs="Times New Roman"/>
          <w:sz w:val="32"/>
          <w:szCs w:val="32"/>
          <w:lang w:val="en-US" w:eastAsia="zh-CN"/>
        </w:rPr>
        <w:t>0</w:t>
      </w:r>
      <w:r>
        <w:rPr>
          <w:rFonts w:hint="eastAsia" w:ascii="仿宋_GB2312" w:hAnsi="宋体" w:eastAsia="仿宋_GB2312" w:cs="Times New Roman"/>
          <w:sz w:val="32"/>
          <w:szCs w:val="32"/>
          <w:lang w:val="zh-CN"/>
        </w:rPr>
        <w:t>起</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采编刊发了反映巴中经济社会发展、脱贫攻坚等成效的综合稿件3200余条，特别是人民日报头版《四川巴中：迈开大步奔小康》，光明日报头版《用绿水青山装点巴山蜀水》，四川日报头版头条《“铁公鸡”重塑革命老区经济地理》等稿件总结报道了巴中干群苦干实干的精气神，提升了巴中知名度和影响力</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（二）项目效益情况</w:t>
      </w:r>
    </w:p>
    <w:p>
      <w:pPr>
        <w:adjustRightInd w:val="0"/>
        <w:snapToGrid w:val="0"/>
        <w:spacing w:line="600"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畅通了与中央电视台、人民日报、四川新闻等权威媒体的合作渠道，增强了人民群众的幸福感获得感，提振了广大干部职工的精气神，</w:t>
      </w:r>
      <w:r>
        <w:rPr>
          <w:rFonts w:hint="eastAsia" w:ascii="仿宋_GB2312" w:hAnsi="宋体" w:eastAsia="仿宋_GB2312" w:cs="Times New Roman"/>
          <w:sz w:val="32"/>
          <w:szCs w:val="32"/>
          <w:lang w:val="zh-CN"/>
        </w:rPr>
        <w:t>提升巴中知名度、</w:t>
      </w:r>
      <w:r>
        <w:rPr>
          <w:rFonts w:hint="eastAsia" w:ascii="仿宋_GB2312" w:hAnsi="宋体" w:eastAsia="仿宋_GB2312" w:cs="Times New Roman"/>
          <w:sz w:val="32"/>
          <w:szCs w:val="32"/>
          <w:lang w:val="en-US" w:eastAsia="zh-CN"/>
        </w:rPr>
        <w:t>美誉度</w:t>
      </w:r>
      <w:r>
        <w:rPr>
          <w:rFonts w:hint="eastAsia" w:ascii="仿宋_GB2312" w:hAnsi="宋体" w:eastAsia="仿宋_GB2312" w:cs="Times New Roman"/>
          <w:sz w:val="32"/>
          <w:szCs w:val="32"/>
          <w:lang w:val="zh-CN"/>
        </w:rPr>
        <w:t>和影响力。</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（一）评价结论</w:t>
      </w:r>
    </w:p>
    <w:p>
      <w:pPr>
        <w:spacing w:after="0" w:line="560" w:lineRule="exact"/>
        <w:ind w:firstLine="640" w:firstLineChars="200"/>
        <w:rPr>
          <w:rStyle w:val="11"/>
          <w:rFonts w:hint="eastAsia" w:ascii="方正仿宋简体" w:hAnsi="方正仿宋简体" w:eastAsia="方正仿宋简体" w:cs="方正仿宋简体"/>
          <w:b w:val="0"/>
          <w:bCs/>
          <w:color w:val="000000"/>
          <w:sz w:val="32"/>
          <w:szCs w:val="32"/>
        </w:rPr>
      </w:pPr>
      <w:r>
        <w:rPr>
          <w:rFonts w:hint="eastAsia" w:ascii="方正仿宋简体" w:hAnsi="方正仿宋简体" w:eastAsia="方正仿宋简体" w:cs="方正仿宋简体"/>
          <w:sz w:val="32"/>
          <w:szCs w:val="32"/>
        </w:rPr>
        <w:t>2020年，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外宣工作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项目</w:t>
      </w:r>
      <w:r>
        <w:rPr>
          <w:rFonts w:hint="eastAsia" w:ascii="方正仿宋简体" w:hAnsi="方正仿宋简体" w:eastAsia="方正仿宋简体" w:cs="方正仿宋简体"/>
          <w:sz w:val="32"/>
          <w:szCs w:val="32"/>
        </w:rPr>
        <w:t>预算编制科学、绩效目标设置合理、项目立项规范、</w:t>
      </w:r>
      <w:r>
        <w:rPr>
          <w:rFonts w:hint="eastAsia" w:ascii="方正仿宋简体" w:hAnsi="方正仿宋简体" w:eastAsia="方正仿宋简体" w:cs="方正仿宋简体"/>
          <w:sz w:val="32"/>
          <w:szCs w:val="32"/>
          <w:lang w:val="en-US" w:eastAsia="zh-CN"/>
        </w:rPr>
        <w:t>项目推动扎实有效、目标</w:t>
      </w:r>
      <w:r>
        <w:rPr>
          <w:rFonts w:hint="eastAsia" w:ascii="方正仿宋简体" w:hAnsi="方正仿宋简体" w:eastAsia="方正仿宋简体" w:cs="方正仿宋简体"/>
          <w:sz w:val="32"/>
          <w:szCs w:val="32"/>
        </w:rPr>
        <w:t>任务均全部完成，财政资金支出规定，</w:t>
      </w:r>
      <w:r>
        <w:rPr>
          <w:rStyle w:val="11"/>
          <w:rFonts w:hint="eastAsia" w:ascii="方正仿宋简体" w:hAnsi="方正仿宋简体" w:eastAsia="方正仿宋简体" w:cs="方正仿宋简体"/>
          <w:b w:val="0"/>
          <w:bCs/>
          <w:color w:val="000000"/>
          <w:sz w:val="32"/>
          <w:szCs w:val="32"/>
        </w:rPr>
        <w:t>无违纪违规等现象发生。</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lang w:eastAsia="zh-CN"/>
        </w:rPr>
        <w:t>外宣工作</w:t>
      </w:r>
      <w:r>
        <w:rPr>
          <w:rFonts w:hint="eastAsia" w:ascii="仿宋_GB2312" w:hAnsi="仿宋_GB2312" w:eastAsia="仿宋_GB2312" w:cs="仿宋_GB2312"/>
          <w:sz w:val="32"/>
          <w:szCs w:val="32"/>
          <w:lang w:val="en-US" w:eastAsia="zh-CN"/>
        </w:rPr>
        <w:t>要求高、</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lang w:eastAsia="zh-CN"/>
        </w:rPr>
        <w:t>，时效性强，</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lang w:eastAsia="zh-CN"/>
        </w:rPr>
        <w:t>资金保障</w:t>
      </w:r>
      <w:r>
        <w:rPr>
          <w:rFonts w:hint="eastAsia" w:ascii="仿宋_GB2312" w:hAnsi="仿宋_GB2312" w:eastAsia="仿宋_GB2312" w:cs="仿宋_GB2312"/>
          <w:sz w:val="32"/>
          <w:szCs w:val="32"/>
          <w:lang w:val="en-US" w:eastAsia="zh-CN"/>
        </w:rPr>
        <w:t>需进一步加强</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zh-CN"/>
        </w:rPr>
        <w:t>宣传深度和广度</w:t>
      </w:r>
      <w:r>
        <w:rPr>
          <w:rFonts w:hint="eastAsia" w:ascii="Times New Roman" w:hAnsi="Times New Roman" w:eastAsia="仿宋_GB2312" w:cs="Times New Roman"/>
          <w:sz w:val="32"/>
          <w:szCs w:val="32"/>
          <w:lang w:val="en-US" w:eastAsia="zh-CN"/>
        </w:rPr>
        <w:t>需进一步提高，对外宣工作的重要性认识需进一步提升。</w:t>
      </w:r>
    </w:p>
    <w:p>
      <w:pPr>
        <w:spacing w:after="0" w:line="560" w:lineRule="exact"/>
        <w:ind w:firstLine="640" w:firstLineChars="200"/>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（三）相关建议</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进一步增强</w:t>
      </w:r>
      <w:r>
        <w:rPr>
          <w:rFonts w:hint="eastAsia" w:ascii="仿宋_GB2312" w:hAnsi="仿宋_GB2312" w:eastAsia="仿宋_GB2312" w:cs="仿宋_GB2312"/>
          <w:sz w:val="32"/>
          <w:szCs w:val="32"/>
          <w:lang w:eastAsia="zh-CN"/>
        </w:rPr>
        <w:t>外宣工作的</w:t>
      </w:r>
      <w:r>
        <w:rPr>
          <w:rFonts w:hint="eastAsia" w:ascii="仿宋_GB2312" w:hAnsi="仿宋_GB2312" w:eastAsia="仿宋_GB2312" w:cs="仿宋_GB2312"/>
          <w:sz w:val="32"/>
          <w:szCs w:val="32"/>
          <w:lang w:val="en-US" w:eastAsia="zh-CN"/>
        </w:rPr>
        <w:t>针对性、</w:t>
      </w:r>
      <w:r>
        <w:rPr>
          <w:rFonts w:hint="eastAsia" w:ascii="仿宋_GB2312" w:hAnsi="仿宋_GB2312" w:eastAsia="仿宋_GB2312" w:cs="仿宋_GB2312"/>
          <w:sz w:val="32"/>
          <w:szCs w:val="32"/>
          <w:lang w:eastAsia="zh-CN"/>
        </w:rPr>
        <w:t>及时性</w:t>
      </w:r>
      <w:r>
        <w:rPr>
          <w:rFonts w:hint="eastAsia" w:ascii="仿宋_GB2312" w:hAnsi="仿宋_GB2312" w:eastAsia="仿宋_GB2312" w:cs="仿宋_GB2312"/>
          <w:sz w:val="32"/>
          <w:szCs w:val="32"/>
          <w:lang w:val="en-US" w:eastAsia="zh-CN"/>
        </w:rPr>
        <w:t>和宣传产品的多元化、高品质</w:t>
      </w:r>
      <w:r>
        <w:rPr>
          <w:rFonts w:hint="eastAsia" w:ascii="仿宋_GB2312" w:hAnsi="仿宋_GB2312" w:eastAsia="仿宋_GB2312" w:cs="仿宋_GB2312"/>
          <w:sz w:val="32"/>
          <w:szCs w:val="32"/>
          <w:lang w:eastAsia="zh-CN"/>
        </w:rPr>
        <w:t>，真正把巴中的</w:t>
      </w:r>
      <w:r>
        <w:rPr>
          <w:rFonts w:hint="eastAsia" w:ascii="仿宋_GB2312" w:hAnsi="仿宋_GB2312" w:eastAsia="仿宋_GB2312" w:cs="仿宋_GB2312"/>
          <w:sz w:val="32"/>
          <w:szCs w:val="32"/>
          <w:lang w:val="en-US" w:eastAsia="zh-CN"/>
        </w:rPr>
        <w:t>工作成效、经验做法和红色资源、绿色旅游及老区人民的奋斗史、获得感、幸福感</w:t>
      </w:r>
      <w:r>
        <w:rPr>
          <w:rFonts w:hint="eastAsia" w:ascii="仿宋_GB2312" w:hAnsi="仿宋_GB2312" w:eastAsia="仿宋_GB2312" w:cs="仿宋_GB2312"/>
          <w:sz w:val="32"/>
          <w:szCs w:val="32"/>
          <w:lang w:eastAsia="zh-CN"/>
        </w:rPr>
        <w:t>传递到全国各地及海内外，不断</w:t>
      </w:r>
      <w:r>
        <w:rPr>
          <w:rFonts w:hint="eastAsia" w:ascii="仿宋_GB2312" w:hAnsi="仿宋_GB2312" w:eastAsia="仿宋_GB2312" w:cs="仿宋_GB2312"/>
          <w:sz w:val="32"/>
          <w:szCs w:val="32"/>
          <w:lang w:val="en-US" w:eastAsia="zh-CN"/>
        </w:rPr>
        <w:t>增加宣传工作实效，不断提升巴中知名度、美誉度和影响力</w:t>
      </w:r>
      <w:r>
        <w:rPr>
          <w:rFonts w:hint="eastAsia" w:ascii="仿宋_GB2312" w:hAnsi="仿宋_GB2312" w:eastAsia="仿宋_GB2312" w:cs="仿宋_GB2312"/>
          <w:sz w:val="32"/>
          <w:szCs w:val="32"/>
          <w:lang w:eastAsia="zh-CN"/>
        </w:rPr>
        <w:t>。</w:t>
      </w:r>
    </w:p>
    <w:p>
      <w:pPr>
        <w:pStyle w:val="2"/>
        <w:rPr>
          <w:rFonts w:hint="eastAsia"/>
        </w:rPr>
      </w:pPr>
    </w:p>
    <w:p>
      <w:pPr>
        <w:spacing w:line="580" w:lineRule="exact"/>
        <w:ind w:firstLine="640"/>
        <w:rPr>
          <w:rFonts w:ascii="仿宋_GB2312" w:hAnsi="仿宋_GB2312" w:eastAsia="仿宋_GB2312" w:cs="仿宋_GB2312"/>
          <w:sz w:val="32"/>
          <w:szCs w:val="32"/>
        </w:rPr>
      </w:pPr>
    </w:p>
    <w:p>
      <w:pPr>
        <w:widowControl/>
        <w:jc w:val="left"/>
        <w:rPr>
          <w:rStyle w:val="13"/>
          <w:rFonts w:ascii="黑体" w:hAnsi="黑体" w:eastAsia="黑体"/>
          <w:b w:val="0"/>
        </w:rPr>
      </w:pPr>
    </w:p>
    <w:p>
      <w:pPr>
        <w:widowControl/>
        <w:jc w:val="left"/>
        <w:rPr>
          <w:rStyle w:val="13"/>
          <w:rFonts w:ascii="黑体" w:hAnsi="黑体" w:eastAsia="黑体"/>
          <w:b w:val="0"/>
        </w:rPr>
      </w:pPr>
      <w:r>
        <w:rPr>
          <w:rStyle w:val="13"/>
          <w:rFonts w:ascii="黑体" w:hAnsi="黑体" w:eastAsia="黑体"/>
          <w:b w:val="0"/>
        </w:rPr>
        <w:br w:type="page"/>
      </w:r>
    </w:p>
    <w:p>
      <w:pPr>
        <w:spacing w:line="600" w:lineRule="exact"/>
        <w:jc w:val="center"/>
        <w:outlineLvl w:val="0"/>
        <w:rPr>
          <w:rStyle w:val="13"/>
          <w:rFonts w:ascii="黑体" w:hAnsi="黑体" w:eastAsia="黑体"/>
          <w:b w:val="0"/>
        </w:rPr>
      </w:pPr>
      <w:bookmarkStart w:id="60" w:name="_Toc15396618"/>
      <w:r>
        <w:rPr>
          <w:rFonts w:hint="eastAsia" w:ascii="黑体" w:hAnsi="黑体" w:eastAsia="黑体"/>
          <w:color w:val="000000"/>
          <w:sz w:val="44"/>
          <w:szCs w:val="44"/>
        </w:rPr>
        <w:t>第</w:t>
      </w:r>
      <w:r>
        <w:rPr>
          <w:rStyle w:val="13"/>
          <w:rFonts w:hint="eastAsia" w:ascii="黑体" w:hAnsi="黑体" w:eastAsia="黑体"/>
          <w:b w:val="0"/>
        </w:rPr>
        <w:t>五部分</w:t>
      </w:r>
      <w:r>
        <w:rPr>
          <w:rStyle w:val="13"/>
          <w:rFonts w:ascii="黑体" w:hAnsi="黑体" w:eastAsia="黑体"/>
          <w:b w:val="0"/>
        </w:rPr>
        <w:t xml:space="preserve"> </w:t>
      </w:r>
      <w:r>
        <w:rPr>
          <w:rStyle w:val="13"/>
          <w:rFonts w:hint="eastAsia" w:ascii="黑体" w:hAnsi="黑体" w:eastAsia="黑体"/>
          <w:b w:val="0"/>
        </w:rPr>
        <w:t>附表</w:t>
      </w:r>
      <w:bookmarkEnd w:id="60"/>
    </w:p>
    <w:p>
      <w:pPr>
        <w:pStyle w:val="4"/>
        <w:pageBreakBefore w:val="0"/>
        <w:widowControl w:val="0"/>
        <w:kinsoku/>
        <w:wordWrap/>
        <w:overflowPunct/>
        <w:topLinePunct w:val="0"/>
        <w:autoSpaceDE/>
        <w:autoSpaceDN/>
        <w:bidi w:val="0"/>
        <w:adjustRightInd/>
        <w:snapToGrid/>
        <w:spacing w:before="0" w:after="0" w:line="580" w:lineRule="exact"/>
        <w:textAlignment w:val="auto"/>
        <w:rPr>
          <w:rFonts w:hint="eastAsia" w:ascii="仿宋" w:hAnsi="仿宋" w:eastAsia="仿宋"/>
          <w:b w:val="0"/>
          <w:color w:val="000000"/>
        </w:rPr>
      </w:pPr>
      <w:bookmarkStart w:id="61" w:name="_Toc15396619"/>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r>
        <w:rPr>
          <w:rFonts w:hint="eastAsia" w:ascii="仿宋" w:hAnsi="仿宋" w:eastAsia="仿宋"/>
          <w:b w:val="0"/>
          <w:color w:val="000000"/>
        </w:rPr>
        <w:t>一、收</w:t>
      </w:r>
      <w:r>
        <w:rPr>
          <w:rStyle w:val="14"/>
          <w:rFonts w:hint="eastAsia" w:ascii="仿宋" w:hAnsi="仿宋" w:eastAsia="仿宋"/>
          <w:b w:val="0"/>
          <w:bCs w:val="0"/>
        </w:rPr>
        <w:t>入支出决算总表</w:t>
      </w:r>
      <w:bookmarkEnd w:id="61"/>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62" w:name="_Toc15396620"/>
      <w:r>
        <w:rPr>
          <w:rFonts w:hint="eastAsia" w:ascii="仿宋" w:hAnsi="仿宋" w:eastAsia="仿宋"/>
          <w:b w:val="0"/>
          <w:color w:val="000000"/>
        </w:rPr>
        <w:t>二、收</w:t>
      </w:r>
      <w:r>
        <w:rPr>
          <w:rStyle w:val="14"/>
          <w:rFonts w:hint="eastAsia" w:ascii="仿宋" w:hAnsi="仿宋" w:eastAsia="仿宋"/>
          <w:b w:val="0"/>
          <w:bCs w:val="0"/>
        </w:rPr>
        <w:t>入决算表</w:t>
      </w:r>
      <w:bookmarkEnd w:id="62"/>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63" w:name="_Toc15396621"/>
      <w:r>
        <w:rPr>
          <w:rStyle w:val="14"/>
          <w:rFonts w:hint="eastAsia" w:ascii="仿宋" w:hAnsi="仿宋" w:eastAsia="仿宋"/>
          <w:b w:val="0"/>
          <w:bCs w:val="0"/>
        </w:rPr>
        <w:t>三、</w:t>
      </w:r>
      <w:r>
        <w:rPr>
          <w:rFonts w:hint="eastAsia" w:ascii="仿宋" w:hAnsi="仿宋" w:eastAsia="仿宋"/>
          <w:b w:val="0"/>
          <w:color w:val="000000"/>
        </w:rPr>
        <w:t>支</w:t>
      </w:r>
      <w:r>
        <w:rPr>
          <w:rStyle w:val="14"/>
          <w:rFonts w:hint="eastAsia" w:ascii="仿宋" w:hAnsi="仿宋" w:eastAsia="仿宋"/>
          <w:b w:val="0"/>
          <w:bCs w:val="0"/>
        </w:rPr>
        <w:t>出决算表</w:t>
      </w:r>
      <w:bookmarkEnd w:id="63"/>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b w:val="0"/>
          <w:color w:val="000000"/>
        </w:rPr>
      </w:pPr>
      <w:bookmarkStart w:id="64" w:name="_Toc15396622"/>
      <w:r>
        <w:rPr>
          <w:rStyle w:val="14"/>
          <w:rFonts w:hint="eastAsia" w:ascii="仿宋" w:hAnsi="仿宋" w:eastAsia="仿宋"/>
          <w:b w:val="0"/>
          <w:bCs w:val="0"/>
        </w:rPr>
        <w:t>四、</w:t>
      </w:r>
      <w:r>
        <w:rPr>
          <w:rFonts w:hint="eastAsia" w:ascii="仿宋" w:hAnsi="仿宋" w:eastAsia="仿宋"/>
          <w:b w:val="0"/>
          <w:color w:val="000000"/>
        </w:rPr>
        <w:t>财</w:t>
      </w:r>
      <w:r>
        <w:rPr>
          <w:rStyle w:val="14"/>
          <w:rFonts w:hint="eastAsia" w:ascii="仿宋" w:hAnsi="仿宋" w:eastAsia="仿宋"/>
          <w:b w:val="0"/>
          <w:bCs w:val="0"/>
        </w:rPr>
        <w:t>政拨款收入支出决算总表</w:t>
      </w:r>
      <w:bookmarkEnd w:id="64"/>
    </w:p>
    <w:p>
      <w:pPr>
        <w:pStyle w:val="4"/>
        <w:pageBreakBefore w:val="0"/>
        <w:widowControl w:val="0"/>
        <w:kinsoku/>
        <w:wordWrap/>
        <w:overflowPunct/>
        <w:topLinePunct w:val="0"/>
        <w:autoSpaceDE/>
        <w:autoSpaceDN/>
        <w:bidi w:val="0"/>
        <w:adjustRightInd/>
        <w:snapToGrid/>
        <w:spacing w:before="0" w:after="0" w:line="580" w:lineRule="exact"/>
        <w:textAlignment w:val="auto"/>
        <w:rPr>
          <w:rStyle w:val="14"/>
          <w:rFonts w:ascii="仿宋" w:hAnsi="仿宋" w:eastAsia="仿宋"/>
          <w:b w:val="0"/>
          <w:bCs w:val="0"/>
        </w:rPr>
      </w:pPr>
      <w:bookmarkStart w:id="65" w:name="_Toc15396623"/>
      <w:r>
        <w:rPr>
          <w:rStyle w:val="14"/>
          <w:rFonts w:hint="eastAsia" w:ascii="仿宋" w:hAnsi="仿宋" w:eastAsia="仿宋"/>
          <w:b w:val="0"/>
          <w:bCs w:val="0"/>
        </w:rPr>
        <w:t>五、</w:t>
      </w:r>
      <w:r>
        <w:rPr>
          <w:rFonts w:hint="eastAsia" w:ascii="仿宋" w:hAnsi="仿宋" w:eastAsia="仿宋"/>
          <w:b w:val="0"/>
          <w:color w:val="000000"/>
        </w:rPr>
        <w:t>财</w:t>
      </w:r>
      <w:r>
        <w:rPr>
          <w:rStyle w:val="14"/>
          <w:rFonts w:hint="eastAsia" w:ascii="仿宋" w:hAnsi="仿宋" w:eastAsia="仿宋"/>
          <w:b w:val="0"/>
          <w:bCs w:val="0"/>
        </w:rPr>
        <w:t>政拨款支出决算明细表</w:t>
      </w:r>
      <w:bookmarkEnd w:id="65"/>
      <w:bookmarkStart w:id="66" w:name="_Toc15396624"/>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r>
        <w:rPr>
          <w:rStyle w:val="14"/>
          <w:rFonts w:hint="eastAsia" w:ascii="仿宋" w:hAnsi="仿宋" w:eastAsia="仿宋"/>
          <w:b w:val="0"/>
          <w:bCs w:val="0"/>
        </w:rPr>
        <w:t>六、</w:t>
      </w:r>
      <w:r>
        <w:rPr>
          <w:rFonts w:hint="eastAsia" w:ascii="仿宋" w:hAnsi="仿宋" w:eastAsia="仿宋"/>
          <w:b w:val="0"/>
          <w:color w:val="000000"/>
        </w:rPr>
        <w:t>一</w:t>
      </w:r>
      <w:r>
        <w:rPr>
          <w:rStyle w:val="14"/>
          <w:rFonts w:hint="eastAsia" w:ascii="仿宋" w:hAnsi="仿宋" w:eastAsia="仿宋"/>
          <w:b w:val="0"/>
          <w:bCs w:val="0"/>
        </w:rPr>
        <w:t>般公共预算财政拨款支出决算表</w:t>
      </w:r>
      <w:bookmarkEnd w:id="66"/>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67" w:name="_Toc15396625"/>
      <w:r>
        <w:rPr>
          <w:rStyle w:val="14"/>
          <w:rFonts w:hint="eastAsia" w:ascii="仿宋" w:hAnsi="仿宋" w:eastAsia="仿宋"/>
          <w:b w:val="0"/>
          <w:bCs w:val="0"/>
        </w:rPr>
        <w:t>七、</w:t>
      </w:r>
      <w:r>
        <w:rPr>
          <w:rFonts w:hint="eastAsia" w:ascii="仿宋" w:hAnsi="仿宋" w:eastAsia="仿宋"/>
          <w:b w:val="0"/>
          <w:color w:val="000000"/>
        </w:rPr>
        <w:t>一</w:t>
      </w:r>
      <w:r>
        <w:rPr>
          <w:rStyle w:val="14"/>
          <w:rFonts w:hint="eastAsia" w:ascii="仿宋" w:hAnsi="仿宋" w:eastAsia="仿宋"/>
          <w:b w:val="0"/>
          <w:bCs w:val="0"/>
        </w:rPr>
        <w:t>般公共预算财政拨款支出决算明细表</w:t>
      </w:r>
      <w:bookmarkEnd w:id="67"/>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68" w:name="_Toc15396626"/>
      <w:r>
        <w:rPr>
          <w:rStyle w:val="14"/>
          <w:rFonts w:hint="eastAsia" w:ascii="仿宋" w:hAnsi="仿宋" w:eastAsia="仿宋"/>
          <w:b w:val="0"/>
          <w:bCs w:val="0"/>
        </w:rPr>
        <w:t>八、</w:t>
      </w:r>
      <w:r>
        <w:rPr>
          <w:rFonts w:hint="eastAsia" w:ascii="仿宋" w:hAnsi="仿宋" w:eastAsia="仿宋"/>
          <w:b w:val="0"/>
          <w:color w:val="000000"/>
        </w:rPr>
        <w:t>一</w:t>
      </w:r>
      <w:r>
        <w:rPr>
          <w:rStyle w:val="14"/>
          <w:rFonts w:hint="eastAsia" w:ascii="仿宋" w:hAnsi="仿宋" w:eastAsia="仿宋"/>
          <w:b w:val="0"/>
          <w:bCs w:val="0"/>
        </w:rPr>
        <w:t>般公共预算财政拨款基本支出决算表</w:t>
      </w:r>
      <w:bookmarkEnd w:id="68"/>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69" w:name="_Toc15396627"/>
      <w:r>
        <w:rPr>
          <w:rStyle w:val="14"/>
          <w:rFonts w:hint="eastAsia" w:ascii="仿宋" w:hAnsi="仿宋" w:eastAsia="仿宋"/>
          <w:b w:val="0"/>
          <w:bCs w:val="0"/>
        </w:rPr>
        <w:t>九、</w:t>
      </w:r>
      <w:r>
        <w:rPr>
          <w:rFonts w:hint="eastAsia" w:ascii="仿宋" w:hAnsi="仿宋" w:eastAsia="仿宋"/>
          <w:b w:val="0"/>
          <w:color w:val="000000"/>
        </w:rPr>
        <w:t>一</w:t>
      </w:r>
      <w:r>
        <w:rPr>
          <w:rStyle w:val="14"/>
          <w:rFonts w:hint="eastAsia" w:ascii="仿宋" w:hAnsi="仿宋" w:eastAsia="仿宋"/>
          <w:b w:val="0"/>
          <w:bCs w:val="0"/>
        </w:rPr>
        <w:t>般公共预算财政拨款项目支出决算表</w:t>
      </w:r>
      <w:bookmarkEnd w:id="69"/>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70" w:name="_Toc15396628"/>
      <w:r>
        <w:rPr>
          <w:rStyle w:val="14"/>
          <w:rFonts w:hint="eastAsia" w:ascii="仿宋" w:hAnsi="仿宋" w:eastAsia="仿宋"/>
          <w:b w:val="0"/>
          <w:bCs w:val="0"/>
        </w:rPr>
        <w:t>十、</w:t>
      </w:r>
      <w:r>
        <w:rPr>
          <w:rFonts w:hint="eastAsia" w:ascii="仿宋" w:hAnsi="仿宋" w:eastAsia="仿宋"/>
          <w:b w:val="0"/>
          <w:color w:val="000000"/>
        </w:rPr>
        <w:t>一</w:t>
      </w:r>
      <w:r>
        <w:rPr>
          <w:rStyle w:val="14"/>
          <w:rFonts w:hint="eastAsia" w:ascii="仿宋" w:hAnsi="仿宋" w:eastAsia="仿宋"/>
          <w:b w:val="0"/>
          <w:bCs w:val="0"/>
        </w:rPr>
        <w:t>般公共预算财政拨款“三公”经费支出决算表</w:t>
      </w:r>
      <w:bookmarkEnd w:id="70"/>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71" w:name="_Toc15396629"/>
      <w:r>
        <w:rPr>
          <w:rStyle w:val="14"/>
          <w:rFonts w:hint="eastAsia" w:ascii="仿宋" w:hAnsi="仿宋" w:eastAsia="仿宋"/>
          <w:b w:val="0"/>
          <w:bCs w:val="0"/>
        </w:rPr>
        <w:t>十一、</w:t>
      </w:r>
      <w:r>
        <w:rPr>
          <w:rFonts w:hint="eastAsia" w:ascii="仿宋" w:hAnsi="仿宋" w:eastAsia="仿宋"/>
          <w:b w:val="0"/>
          <w:color w:val="000000"/>
        </w:rPr>
        <w:t>政</w:t>
      </w:r>
      <w:r>
        <w:rPr>
          <w:rStyle w:val="14"/>
          <w:rFonts w:hint="eastAsia" w:ascii="仿宋" w:hAnsi="仿宋" w:eastAsia="仿宋"/>
          <w:b w:val="0"/>
          <w:bCs w:val="0"/>
        </w:rPr>
        <w:t>府性基金预算财政拨款收入支出决算表</w:t>
      </w:r>
      <w:bookmarkEnd w:id="71"/>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72" w:name="_Toc15396630"/>
      <w:r>
        <w:rPr>
          <w:rStyle w:val="14"/>
          <w:rFonts w:hint="eastAsia" w:ascii="仿宋" w:hAnsi="仿宋" w:eastAsia="仿宋"/>
          <w:b w:val="0"/>
          <w:bCs w:val="0"/>
        </w:rPr>
        <w:t>十二、</w:t>
      </w:r>
      <w:r>
        <w:rPr>
          <w:rFonts w:hint="eastAsia" w:ascii="仿宋" w:hAnsi="仿宋" w:eastAsia="仿宋"/>
          <w:b w:val="0"/>
          <w:color w:val="000000"/>
        </w:rPr>
        <w:t>政</w:t>
      </w:r>
      <w:r>
        <w:rPr>
          <w:rStyle w:val="14"/>
          <w:rFonts w:hint="eastAsia" w:ascii="仿宋" w:hAnsi="仿宋" w:eastAsia="仿宋"/>
          <w:b w:val="0"/>
          <w:bCs w:val="0"/>
        </w:rPr>
        <w:t>府性基金预算财政拨款“三公”经费支出决算表</w:t>
      </w:r>
      <w:bookmarkEnd w:id="72"/>
    </w:p>
    <w:p>
      <w:pPr>
        <w:pStyle w:val="4"/>
        <w:pageBreakBefore w:val="0"/>
        <w:widowControl w:val="0"/>
        <w:kinsoku/>
        <w:wordWrap/>
        <w:overflowPunct/>
        <w:topLinePunct w:val="0"/>
        <w:autoSpaceDE/>
        <w:autoSpaceDN/>
        <w:bidi w:val="0"/>
        <w:adjustRightInd/>
        <w:snapToGrid/>
        <w:spacing w:before="0" w:after="0" w:line="580" w:lineRule="exact"/>
        <w:textAlignment w:val="auto"/>
        <w:rPr>
          <w:rFonts w:ascii="仿宋" w:hAnsi="仿宋" w:eastAsia="仿宋"/>
          <w:color w:val="000000"/>
        </w:rPr>
      </w:pPr>
      <w:bookmarkStart w:id="73" w:name="_Toc15396631"/>
      <w:r>
        <w:rPr>
          <w:rStyle w:val="14"/>
          <w:rFonts w:hint="eastAsia" w:ascii="仿宋" w:hAnsi="仿宋" w:eastAsia="仿宋"/>
          <w:b w:val="0"/>
          <w:bCs w:val="0"/>
        </w:rPr>
        <w:t>十三、</w:t>
      </w:r>
      <w:r>
        <w:rPr>
          <w:rFonts w:hint="eastAsia" w:ascii="仿宋" w:hAnsi="仿宋" w:eastAsia="仿宋"/>
          <w:b w:val="0"/>
          <w:color w:val="000000"/>
        </w:rPr>
        <w:t>国</w:t>
      </w:r>
      <w:r>
        <w:rPr>
          <w:rStyle w:val="14"/>
          <w:rFonts w:hint="eastAsia" w:ascii="仿宋" w:hAnsi="仿宋" w:eastAsia="仿宋"/>
          <w:b w:val="0"/>
          <w:bCs w:val="0"/>
        </w:rPr>
        <w:t>有资本经营预算财政拨款支出决算表</w:t>
      </w:r>
      <w:bookmarkEnd w:id="73"/>
    </w:p>
    <w:p>
      <w:pPr>
        <w:pageBreakBefore w:val="0"/>
        <w:widowControl w:val="0"/>
        <w:kinsoku/>
        <w:wordWrap/>
        <w:overflowPunct/>
        <w:topLinePunct w:val="0"/>
        <w:autoSpaceDE/>
        <w:autoSpaceDN/>
        <w:bidi w:val="0"/>
        <w:adjustRightInd/>
        <w:snapToGrid/>
        <w:spacing w:line="580" w:lineRule="exact"/>
        <w:textAlignment w:val="auto"/>
      </w:pPr>
    </w:p>
    <w:p/>
    <w:p>
      <w:pPr>
        <w:pStyle w:val="2"/>
      </w:pPr>
    </w:p>
    <w:sectPr>
      <w:pgSz w:w="11906" w:h="16838"/>
      <w:pgMar w:top="2098"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B7703"/>
    <w:multiLevelType w:val="singleLevel"/>
    <w:tmpl w:val="CABB7703"/>
    <w:lvl w:ilvl="0" w:tentative="0">
      <w:start w:val="4"/>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A66513B"/>
    <w:multiLevelType w:val="singleLevel"/>
    <w:tmpl w:val="EA66513B"/>
    <w:lvl w:ilvl="0" w:tentative="0">
      <w:start w:val="3"/>
      <w:numFmt w:val="decimal"/>
      <w:lvlText w:val="%1."/>
      <w:lvlJc w:val="left"/>
      <w:pPr>
        <w:tabs>
          <w:tab w:val="left" w:pos="312"/>
        </w:tabs>
      </w:pPr>
    </w:lvl>
  </w:abstractNum>
  <w:abstractNum w:abstractNumId="4">
    <w:nsid w:val="FBF54165"/>
    <w:multiLevelType w:val="singleLevel"/>
    <w:tmpl w:val="FBF54165"/>
    <w:lvl w:ilvl="0" w:tentative="0">
      <w:start w:val="1"/>
      <w:numFmt w:val="decimal"/>
      <w:suff w:val="space"/>
      <w:lvlText w:val="%1."/>
      <w:lvlJc w:val="left"/>
    </w:lvl>
  </w:abstractNum>
  <w:abstractNum w:abstractNumId="5">
    <w:nsid w:val="FC9136D2"/>
    <w:multiLevelType w:val="singleLevel"/>
    <w:tmpl w:val="FC9136D2"/>
    <w:lvl w:ilvl="0" w:tentative="0">
      <w:start w:val="2"/>
      <w:numFmt w:val="chineseCounting"/>
      <w:suff w:val="nothing"/>
      <w:lvlText w:val="%1、"/>
      <w:lvlJc w:val="left"/>
      <w:rPr>
        <w:rFonts w:hint="eastAsia"/>
      </w:rPr>
    </w:lvl>
  </w:abstractNum>
  <w:abstractNum w:abstractNumId="6">
    <w:nsid w:val="6F2685F7"/>
    <w:multiLevelType w:val="singleLevel"/>
    <w:tmpl w:val="6F2685F7"/>
    <w:lvl w:ilvl="0" w:tentative="0">
      <w:start w:val="1"/>
      <w:numFmt w:val="decimal"/>
      <w:suff w:val="space"/>
      <w:lvlText w:val="%1."/>
      <w:lvlJc w:val="left"/>
      <w:pPr>
        <w:ind w:left="-10"/>
      </w:p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NmJhZjNjNGExODBlMzEzMzI4ZjljMjY1ZWFiMGIifQ=="/>
  </w:docVars>
  <w:rsids>
    <w:rsidRoot w:val="335773C1"/>
    <w:rsid w:val="02421D02"/>
    <w:rsid w:val="03381610"/>
    <w:rsid w:val="048E56D2"/>
    <w:rsid w:val="05A131E3"/>
    <w:rsid w:val="062C6F51"/>
    <w:rsid w:val="069F7723"/>
    <w:rsid w:val="06EC048E"/>
    <w:rsid w:val="089F1C5C"/>
    <w:rsid w:val="08AF749F"/>
    <w:rsid w:val="0B1D2593"/>
    <w:rsid w:val="0B6F2152"/>
    <w:rsid w:val="0CDB3669"/>
    <w:rsid w:val="0DA70ADC"/>
    <w:rsid w:val="10563D26"/>
    <w:rsid w:val="108B7EA7"/>
    <w:rsid w:val="135D699C"/>
    <w:rsid w:val="13C94031"/>
    <w:rsid w:val="166D0E1D"/>
    <w:rsid w:val="18D138D7"/>
    <w:rsid w:val="1C0E117B"/>
    <w:rsid w:val="1CA33EE8"/>
    <w:rsid w:val="1E3D5D47"/>
    <w:rsid w:val="1F1C595D"/>
    <w:rsid w:val="1FA616CA"/>
    <w:rsid w:val="1FC50859"/>
    <w:rsid w:val="2003293C"/>
    <w:rsid w:val="21B34858"/>
    <w:rsid w:val="247C60EA"/>
    <w:rsid w:val="253A5C63"/>
    <w:rsid w:val="296E14AB"/>
    <w:rsid w:val="2A4144C9"/>
    <w:rsid w:val="2DDD6BFF"/>
    <w:rsid w:val="2E8636FD"/>
    <w:rsid w:val="2FFD70E5"/>
    <w:rsid w:val="335773C1"/>
    <w:rsid w:val="338B0EAB"/>
    <w:rsid w:val="37B704C1"/>
    <w:rsid w:val="38C546B6"/>
    <w:rsid w:val="39E63E87"/>
    <w:rsid w:val="3E017CEA"/>
    <w:rsid w:val="3E647531"/>
    <w:rsid w:val="3F4908F8"/>
    <w:rsid w:val="40BA4B7E"/>
    <w:rsid w:val="42BC2E2F"/>
    <w:rsid w:val="43C73E0B"/>
    <w:rsid w:val="46664A2C"/>
    <w:rsid w:val="46F012F9"/>
    <w:rsid w:val="47823BAF"/>
    <w:rsid w:val="4CA706AC"/>
    <w:rsid w:val="51565449"/>
    <w:rsid w:val="541F4FCC"/>
    <w:rsid w:val="55427836"/>
    <w:rsid w:val="581B3CFC"/>
    <w:rsid w:val="588B70D4"/>
    <w:rsid w:val="59411F8B"/>
    <w:rsid w:val="5D0631CD"/>
    <w:rsid w:val="5E6F6B50"/>
    <w:rsid w:val="5E8E1AB7"/>
    <w:rsid w:val="6DD662C6"/>
    <w:rsid w:val="6E861646"/>
    <w:rsid w:val="70D70CB1"/>
    <w:rsid w:val="715E0A8A"/>
    <w:rsid w:val="72255A4C"/>
    <w:rsid w:val="72676064"/>
    <w:rsid w:val="726A2AAA"/>
    <w:rsid w:val="733221CE"/>
    <w:rsid w:val="75D05CCE"/>
    <w:rsid w:val="798C015E"/>
    <w:rsid w:val="79A4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4"/>
    <w:unhideWhenUsed/>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5">
    <w:name w:val="Body Text"/>
    <w:basedOn w:val="1"/>
    <w:qFormat/>
    <w:uiPriority w:val="99"/>
    <w:pPr>
      <w:spacing w:beforeLines="30"/>
    </w:pPr>
    <w:rPr>
      <w:rFonts w:ascii="仿宋_GB2312" w:eastAsia="仿宋_GB2312"/>
      <w:kern w:val="0"/>
      <w:sz w:val="24"/>
      <w:szCs w:val="2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rFonts w:cs="Times New Roman"/>
      <w:b/>
    </w:rPr>
  </w:style>
  <w:style w:type="character" w:styleId="12">
    <w:name w:val="Hyperlink"/>
    <w:basedOn w:val="10"/>
    <w:unhideWhenUsed/>
    <w:qFormat/>
    <w:uiPriority w:val="99"/>
    <w:rPr>
      <w:rFonts w:cs="Times New Roman"/>
      <w:color w:val="0000FF"/>
      <w:u w:val="single"/>
    </w:rPr>
  </w:style>
  <w:style w:type="character" w:customStyle="1" w:styleId="13">
    <w:name w:val=" Char Char6"/>
    <w:basedOn w:val="10"/>
    <w:link w:val="3"/>
    <w:qFormat/>
    <w:locked/>
    <w:uiPriority w:val="9"/>
    <w:rPr>
      <w:b/>
      <w:bCs/>
      <w:kern w:val="44"/>
      <w:sz w:val="44"/>
      <w:szCs w:val="44"/>
    </w:rPr>
  </w:style>
  <w:style w:type="character" w:customStyle="1" w:styleId="14">
    <w:name w:val=" Char Char5"/>
    <w:basedOn w:val="10"/>
    <w:link w:val="4"/>
    <w:qFormat/>
    <w:locked/>
    <w:uiPriority w:val="9"/>
    <w:rPr>
      <w:rFonts w:ascii="Cambria" w:hAnsi="Cambria"/>
      <w:b/>
      <w:bCs/>
      <w:sz w:val="32"/>
      <w:szCs w:val="32"/>
    </w:rPr>
  </w:style>
  <w:style w:type="paragraph" w:customStyle="1"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1.3\&#20915;&#31639;&#20844;&#24320;2020&#65288;&#36164;&#26009;&#65289;\&#22270;&#2663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2663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2021.3\&#20915;&#31639;&#20844;&#24320;2020&#65288;&#36164;&#26009;&#65289;\&#22270;&#2663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1.3\&#20915;&#31639;&#20844;&#24320;2020&#65288;&#36164;&#26009;&#65289;\&#22270;&#2663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021.3\&#20915;&#31639;&#20844;&#24320;2020&#65288;&#36164;&#26009;&#65289;\&#22270;&#2663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1.3\&#20915;&#31639;&#20844;&#24320;2020&#65288;&#36164;&#26009;&#65289;\&#22270;&#2663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021.3\&#20915;&#31639;&#20844;&#24320;2020&#65288;&#36164;&#26009;&#65289;\&#22270;&#266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53611111111111"/>
          <c:y val="0.0509259259259259"/>
          <c:w val="0.748944444444444"/>
          <c:h val="0.837592592592593"/>
        </c:manualLayout>
      </c:layout>
      <c:barChart>
        <c:barDir val="col"/>
        <c:grouping val="clustered"/>
        <c:varyColors val="0"/>
        <c:ser>
          <c:idx val="0"/>
          <c:order val="0"/>
          <c:tx>
            <c:strRef>
              <c:f>[图标.xlsx]机关事务服务中心!$A$2</c:f>
              <c:strCache>
                <c:ptCount val="1"/>
                <c:pt idx="0">
                  <c:v>2019年</c:v>
                </c:pt>
              </c:strCache>
            </c:strRef>
          </c:tx>
          <c:spPr>
            <a:solidFill>
              <a:schemeClr val="accent1"/>
            </a:solidFill>
            <a:ln>
              <a:noFill/>
            </a:ln>
            <a:effectLst/>
          </c:spPr>
          <c:invertIfNegative val="0"/>
          <c:dLbls>
            <c:delete val="1"/>
          </c:dLbls>
          <c:cat>
            <c:strRef>
              <c:f>[图标.xlsx]机关事务服务中心!$B$1:$C$1</c:f>
              <c:strCache>
                <c:ptCount val="2"/>
                <c:pt idx="0">
                  <c:v>收入</c:v>
                </c:pt>
                <c:pt idx="1">
                  <c:v>支出</c:v>
                </c:pt>
              </c:strCache>
            </c:strRef>
          </c:cat>
          <c:val>
            <c:numRef>
              <c:f>[图标.xlsx]机关事务服务中心!$B$2:$C$2</c:f>
              <c:numCache>
                <c:formatCode>General</c:formatCode>
                <c:ptCount val="2"/>
                <c:pt idx="0">
                  <c:v>1872.6</c:v>
                </c:pt>
                <c:pt idx="1">
                  <c:v>1881.6</c:v>
                </c:pt>
              </c:numCache>
            </c:numRef>
          </c:val>
        </c:ser>
        <c:ser>
          <c:idx val="1"/>
          <c:order val="1"/>
          <c:tx>
            <c:strRef>
              <c:f>[图标.xlsx]机关事务服务中心!$A$3</c:f>
              <c:strCache>
                <c:ptCount val="1"/>
                <c:pt idx="0">
                  <c:v>2020年</c:v>
                </c:pt>
              </c:strCache>
            </c:strRef>
          </c:tx>
          <c:spPr>
            <a:solidFill>
              <a:schemeClr val="accent2"/>
            </a:solidFill>
            <a:ln>
              <a:noFill/>
            </a:ln>
            <a:effectLst/>
          </c:spPr>
          <c:invertIfNegative val="0"/>
          <c:dLbls>
            <c:delete val="1"/>
          </c:dLbls>
          <c:cat>
            <c:strRef>
              <c:f>[图标.xlsx]机关事务服务中心!$B$1:$C$1</c:f>
              <c:strCache>
                <c:ptCount val="2"/>
                <c:pt idx="0">
                  <c:v>收入</c:v>
                </c:pt>
                <c:pt idx="1">
                  <c:v>支出</c:v>
                </c:pt>
              </c:strCache>
            </c:strRef>
          </c:cat>
          <c:val>
            <c:numRef>
              <c:f>[图标.xlsx]机关事务服务中心!$B$3:$C$3</c:f>
              <c:numCache>
                <c:formatCode>General</c:formatCode>
                <c:ptCount val="2"/>
                <c:pt idx="0">
                  <c:v>1720.9</c:v>
                </c:pt>
                <c:pt idx="1">
                  <c:v>2054.2</c:v>
                </c:pt>
              </c:numCache>
            </c:numRef>
          </c:val>
        </c:ser>
        <c:dLbls>
          <c:showLegendKey val="0"/>
          <c:showVal val="0"/>
          <c:showCatName val="0"/>
          <c:showSerName val="0"/>
          <c:showPercent val="0"/>
          <c:showBubbleSize val="0"/>
        </c:dLbls>
        <c:gapWidth val="150"/>
        <c:overlap val="0"/>
        <c:axId val="747959217"/>
        <c:axId val="678954410"/>
      </c:barChart>
      <c:catAx>
        <c:axId val="7479592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954410"/>
        <c:crosses val="autoZero"/>
        <c:auto val="1"/>
        <c:lblAlgn val="ctr"/>
        <c:lblOffset val="100"/>
        <c:noMultiLvlLbl val="0"/>
      </c:catAx>
      <c:valAx>
        <c:axId val="6789544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7959217"/>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[图标.xlsx]机关事务服务中心!$A$12:$A$18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[图标.xlsx]机关事务服务中心!$B$12:$B$18</c:f>
              <c:numCache>
                <c:formatCode>General</c:formatCode>
                <c:ptCount val="7"/>
                <c:pt idx="0">
                  <c:v>2470.08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[图标.xlsx]机关事务服务中心!$A$25:$A$29</c:f>
              <c:strCache>
                <c:ptCount val="5"/>
                <c:pt idx="0">
                  <c:v>基本支出</c:v>
                </c:pt>
                <c:pt idx="1">
                  <c:v>项目支出</c:v>
                </c:pt>
                <c:pt idx="2">
                  <c:v>上缴上级支出</c:v>
                </c:pt>
                <c:pt idx="3">
                  <c:v>经营支出</c:v>
                </c:pt>
                <c:pt idx="4">
                  <c:v>对附属单位补助支出</c:v>
                </c:pt>
              </c:strCache>
            </c:strRef>
          </c:cat>
          <c:val>
            <c:numRef>
              <c:f>[图标.xlsx]机关事务服务中心!$B$25:$B$29</c:f>
              <c:numCache>
                <c:formatCode>General</c:formatCode>
                <c:ptCount val="5"/>
                <c:pt idx="0">
                  <c:v>686.5</c:v>
                </c:pt>
                <c:pt idx="1">
                  <c:v>1367.7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[图标.xlsx]机关事务服务中心!$A$34</c:f>
              <c:strCache>
                <c:ptCount val="1"/>
                <c:pt idx="0">
                  <c:v>2019年</c:v>
                </c:pt>
              </c:strCache>
            </c:strRef>
          </c:tx>
          <c:spPr>
            <a:solidFill>
              <a:schemeClr val="accent1"/>
            </a:solidFill>
            <a:ln>
              <a:noFill/>
            </a:ln>
            <a:effectLst/>
          </c:spPr>
          <c:invertIfNegative val="0"/>
          <c:dLbls>
            <c:delete val="1"/>
          </c:dLbls>
          <c:cat>
            <c:strRef>
              <c:f>[图标.xlsx]机关事务服务中心!$B$33:$C$33</c:f>
              <c:strCache>
                <c:ptCount val="2"/>
                <c:pt idx="0">
                  <c:v>财政拨款收入</c:v>
                </c:pt>
                <c:pt idx="1">
                  <c:v>财政拨款支出</c:v>
                </c:pt>
              </c:strCache>
            </c:strRef>
          </c:cat>
          <c:val>
            <c:numRef>
              <c:f>[图标.xlsx]机关事务服务中心!$B$34:$C$34</c:f>
              <c:numCache>
                <c:formatCode>General</c:formatCode>
                <c:ptCount val="2"/>
                <c:pt idx="0">
                  <c:v>1872.6</c:v>
                </c:pt>
                <c:pt idx="1">
                  <c:v>1881.6</c:v>
                </c:pt>
              </c:numCache>
            </c:numRef>
          </c:val>
        </c:ser>
        <c:ser>
          <c:idx val="1"/>
          <c:order val="1"/>
          <c:tx>
            <c:strRef>
              <c:f>[图标.xlsx]机关事务服务中心!$A$35</c:f>
              <c:strCache>
                <c:ptCount val="1"/>
                <c:pt idx="0">
                  <c:v>2020年</c:v>
                </c:pt>
              </c:strCache>
            </c:strRef>
          </c:tx>
          <c:spPr>
            <a:solidFill>
              <a:schemeClr val="accent2"/>
            </a:solidFill>
            <a:ln>
              <a:noFill/>
            </a:ln>
            <a:effectLst/>
          </c:spPr>
          <c:invertIfNegative val="0"/>
          <c:dLbls>
            <c:delete val="1"/>
          </c:dLbls>
          <c:cat>
            <c:strRef>
              <c:f>[图标.xlsx]机关事务服务中心!$B$33:$C$33</c:f>
              <c:strCache>
                <c:ptCount val="2"/>
                <c:pt idx="0">
                  <c:v>财政拨款收入</c:v>
                </c:pt>
                <c:pt idx="1">
                  <c:v>财政拨款支出</c:v>
                </c:pt>
              </c:strCache>
            </c:strRef>
          </c:cat>
          <c:val>
            <c:numRef>
              <c:f>[图标.xlsx]机关事务服务中心!$B$35:$C$35</c:f>
              <c:numCache>
                <c:formatCode>General</c:formatCode>
                <c:ptCount val="2"/>
                <c:pt idx="0">
                  <c:v>1720.9</c:v>
                </c:pt>
                <c:pt idx="1">
                  <c:v>2054.2</c:v>
                </c:pt>
              </c:numCache>
            </c:numRef>
          </c:val>
        </c:ser>
        <c:dLbls>
          <c:showLegendKey val="0"/>
          <c:showVal val="0"/>
          <c:showCatName val="0"/>
          <c:showSerName val="0"/>
          <c:showPercent val="0"/>
          <c:showBubbleSize val="0"/>
        </c:dLbls>
        <c:gapWidth val="150"/>
        <c:overlap val="0"/>
        <c:axId val="278662023"/>
        <c:axId val="456054150"/>
      </c:barChart>
      <c:catAx>
        <c:axId val="2786620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6054150"/>
        <c:crosses val="autoZero"/>
        <c:auto val="1"/>
        <c:lblAlgn val="ctr"/>
        <c:lblOffset val="100"/>
        <c:noMultiLvlLbl val="0"/>
      </c:catAx>
      <c:valAx>
        <c:axId val="4560541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866202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[图标.xlsx]机关事务服务中心!$A$38</c:f>
              <c:strCache>
                <c:ptCount val="1"/>
                <c:pt idx="0">
                  <c:v>财政拨款支出</c:v>
                </c:pt>
              </c:strCache>
            </c:strRef>
          </c:tx>
          <c:spPr>
            <a:solidFill>
              <a:schemeClr val="accent1"/>
            </a:solidFill>
            <a:ln>
              <a:noFill/>
            </a:ln>
            <a:effectLst/>
          </c:spPr>
          <c:invertIfNegative val="0"/>
          <c:dLbls>
            <c:delete val="1"/>
          </c:dLbls>
          <c:cat>
            <c:strRef>
              <c:f>[图标.xlsx]机关事务服务中心!$B$37:$C$37</c:f>
              <c:strCache>
                <c:ptCount val="2"/>
                <c:pt idx="0">
                  <c:v>2019年</c:v>
                </c:pt>
                <c:pt idx="1">
                  <c:v>2020年</c:v>
                </c:pt>
              </c:strCache>
            </c:strRef>
          </c:cat>
          <c:val>
            <c:numRef>
              <c:f>[图标.xlsx]机关事务服务中心!$B$38:$C$38</c:f>
              <c:numCache>
                <c:formatCode>General</c:formatCode>
                <c:ptCount val="2"/>
                <c:pt idx="0">
                  <c:v>1881.6</c:v>
                </c:pt>
                <c:pt idx="1">
                  <c:v>2054.2</c:v>
                </c:pt>
              </c:numCache>
            </c:numRef>
          </c:val>
        </c:ser>
        <c:dLbls>
          <c:showLegendKey val="0"/>
          <c:showVal val="0"/>
          <c:showCatName val="0"/>
          <c:showSerName val="0"/>
          <c:showPercent val="0"/>
          <c:showBubbleSize val="0"/>
        </c:dLbls>
        <c:gapWidth val="219"/>
        <c:overlap val="-27"/>
        <c:axId val="694099646"/>
        <c:axId val="654909594"/>
      </c:barChart>
      <c:catAx>
        <c:axId val="6940996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4909594"/>
        <c:crosses val="autoZero"/>
        <c:auto val="1"/>
        <c:lblAlgn val="ctr"/>
        <c:lblOffset val="100"/>
        <c:noMultiLvlLbl val="0"/>
      </c:catAx>
      <c:valAx>
        <c:axId val="6549095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0996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[图标.xlsx]机关事务服务中心!$A$41:$A$48</c:f>
              <c:strCache>
                <c:ptCount val="8"/>
                <c:pt idx="0">
                  <c:v>一般公共服务（类）支出</c:v>
                </c:pt>
                <c:pt idx="1">
                  <c:v>教育支出（类）</c:v>
                </c:pt>
                <c:pt idx="2">
                  <c:v>科学技术（类）支出</c:v>
                </c:pt>
                <c:pt idx="3">
                  <c:v>文化旅游体育与传媒（类）支出</c:v>
                </c:pt>
                <c:pt idx="4">
                  <c:v>社会保障和就业（类）支出</c:v>
                </c:pt>
                <c:pt idx="5">
                  <c:v>卫生健康支出</c:v>
                </c:pt>
                <c:pt idx="6">
                  <c:v>住房保障支出</c:v>
                </c:pt>
                <c:pt idx="7">
                  <c:v>农林水支出</c:v>
                </c:pt>
              </c:strCache>
            </c:strRef>
          </c:cat>
          <c:val>
            <c:numRef>
              <c:f>[图标.xlsx]机关事务服务中心!$B$41:$B$48</c:f>
              <c:numCache>
                <c:formatCode>General</c:formatCode>
                <c:ptCount val="8"/>
                <c:pt idx="0">
                  <c:v>1770.3</c:v>
                </c:pt>
                <c:pt idx="1">
                  <c:v>4.4</c:v>
                </c:pt>
                <c:pt idx="3">
                  <c:v>71</c:v>
                </c:pt>
                <c:pt idx="4">
                  <c:v>55.3</c:v>
                </c:pt>
                <c:pt idx="5">
                  <c:v>54.17</c:v>
                </c:pt>
                <c:pt idx="6">
                  <c:v>35.5</c:v>
                </c:pt>
                <c:pt idx="7">
                  <c:v>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[图标.xlsx]机关事务服务中心!$A$52:$A$54</c:f>
              <c:strCache>
                <c:ptCount val="3"/>
                <c:pt idx="0">
                  <c:v>因公出国（境）费</c:v>
                </c:pt>
                <c:pt idx="1">
                  <c:v>公务用车购置及运行维护费</c:v>
                </c:pt>
                <c:pt idx="2">
                  <c:v>公务接待费</c:v>
                </c:pt>
              </c:strCache>
            </c:strRef>
          </c:cat>
          <c:val>
            <c:numRef>
              <c:f>[图标.xlsx]机关事务服务中心!$B$52:$B$54</c:f>
              <c:numCache>
                <c:formatCode>General</c:formatCode>
                <c:ptCount val="3"/>
                <c:pt idx="1">
                  <c:v>15.2</c:v>
                </c:pt>
                <c:pt idx="2">
                  <c:v>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23817</Words>
  <Characters>24923</Characters>
  <Lines>0</Lines>
  <Paragraphs>0</Paragraphs>
  <TotalTime>32</TotalTime>
  <ScaleCrop>false</ScaleCrop>
  <LinksUpToDate>false</LinksUpToDate>
  <CharactersWithSpaces>24988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2022-07-18T09:20:00Z</dcterms:created>
  <dc:creator>Administrator</dc:creator>
  <cp:lastModifiedBy>Administrator</cp:lastModifiedBy>
  <dcterms:modified xsi:type="dcterms:W3CDTF">2022-07-19T02:34:50Z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FFC151329766441C816075D07BF6CC99</vt:lpwstr>
  </property>
</Properties>
</file>